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902" w:rsidRDefault="00A91902" w:rsidP="00A91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Mbori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Sanghani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</w:t>
      </w:r>
    </w:p>
    <w:p w:rsidR="00A91902" w:rsidRDefault="00A91902" w:rsidP="00A91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 of Kenya at Nairobi</w:t>
      </w:r>
    </w:p>
    <w:p w:rsidR="00A91902" w:rsidRDefault="00A91902" w:rsidP="00A91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September 2006</w:t>
      </w:r>
    </w:p>
    <w:p w:rsidR="00A91902" w:rsidRDefault="00A91902" w:rsidP="00A91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614/04</w:t>
      </w:r>
    </w:p>
    <w:p w:rsidR="00A91902" w:rsidRDefault="00A91902" w:rsidP="00A91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A91902" w:rsidRDefault="00A91902" w:rsidP="00A91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91902" w:rsidRDefault="00A91902" w:rsidP="00A91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A91902" w:rsidRDefault="00A91902" w:rsidP="00A91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Amendment of an application – Time when the application to amend</w:t>
      </w:r>
    </w:p>
    <w:p w:rsidR="00A91902" w:rsidRDefault="00A91902" w:rsidP="00A91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and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application should be made – Factors for the court to consider.</w:t>
      </w:r>
    </w:p>
    <w:p w:rsidR="00A91902" w:rsidRDefault="00A91902" w:rsidP="00A91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practice and procedure, dismissal of suit – Effect of application to dismiss suit after issues</w:t>
      </w:r>
    </w:p>
    <w:p w:rsidR="00A91902" w:rsidRDefault="00A91902" w:rsidP="00A91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agreed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on – Delay in filing application – Factors for court to consider.</w:t>
      </w:r>
    </w:p>
    <w:p w:rsidR="00A91902" w:rsidRDefault="003639E2" w:rsidP="003639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A91902" w:rsidRDefault="00A91902" w:rsidP="003639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Ochieng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This is an application by way of a Notice of Motion. It has been made pursuant to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Order VI, rule 13(1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or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or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), and Order XVI, rule 5 of the Civil Procedure Rules.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face of the application the first, second and third defendants seek the dismissal of the suit as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themselves.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application came up for hearing before me, on 16 June 2006, the advocate for the plaintiffs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pointed out that the suit had already been set down for hearing on 31 July 2006. That piece of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information prompted the court to call for the master diary which is maintained at the Registry. The need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calling up the master diary was that the defendant denied any knowledge about a trial date having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been fixed. On the other hand there was a letter from </w:t>
      </w:r>
      <w:proofErr w:type="spellStart"/>
      <w:r>
        <w:rPr>
          <w:rFonts w:ascii="Times New Roman" w:hAnsi="Times New Roman" w:cs="Times New Roman"/>
          <w:color w:val="000000"/>
        </w:rPr>
        <w:t>Oraro</w:t>
      </w:r>
      <w:proofErr w:type="spellEnd"/>
      <w:r>
        <w:rPr>
          <w:rFonts w:ascii="Times New Roman" w:hAnsi="Times New Roman" w:cs="Times New Roman"/>
          <w:color w:val="000000"/>
        </w:rPr>
        <w:t xml:space="preserve"> and Company Advocates, dated 10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November 2005, through which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defendant’s advocates,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AW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 and Company, were invited to attend at the registry on 6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February 2006, for purposes of fixing a hearing date.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said letter bears a handwritten endorsement which states that the case had been fixed for hearing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31 July 2006, and that the said date was fixed by consent. The endorsement indicates that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defendant’s advocates were represented at the registry by a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Biko</w:t>
      </w:r>
      <w:proofErr w:type="spellEnd"/>
      <w:r>
        <w:rPr>
          <w:rFonts w:ascii="Times New Roman" w:hAnsi="Times New Roman" w:cs="Times New Roman"/>
          <w:color w:val="000000"/>
        </w:rPr>
        <w:t>, whilst the plaintiffs’ advocates were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represented by Edward. Each of the said representatives had then signed against their respective names,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letter.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Notwithstanding the said letter, the defendants’ advocates insisted that they did not know of any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date that may have been fixed. It is then that the court decided that the only way of getting to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bottom of the issue was by perusing the master diary.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perused the master diary, I verified that this suit had not been noted therein as scheduled for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on 31 July 2006. Therefore, notwithstanding the letter dated 10 November 2005, this application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proceeded on the understanding that no trial date had been fixed.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canvassing the application,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Rach </w:t>
      </w:r>
      <w:r>
        <w:rPr>
          <w:rFonts w:ascii="Times New Roman" w:hAnsi="Times New Roman" w:cs="Times New Roman"/>
          <w:color w:val="000000"/>
        </w:rPr>
        <w:t>submitted that the plaintiffs’ case against the first, second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third defendants was so hopeless, it could not possibly succeed. As far as the said applicants were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concerned, the plaintiff had no case at all against them. Indeed, they even believed that the plaint was so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weak that it could not be cured even by an amendment.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order to demonstrate how hopeless the case was, the applicants pointed out that the case was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founded on an Agreement for Sale, as between the plaintiffs and the fourth defendant. Therefore,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applicants submitted that there was no </w:t>
      </w:r>
      <w:proofErr w:type="spellStart"/>
      <w:r>
        <w:rPr>
          <w:rFonts w:ascii="Times New Roman" w:hAnsi="Times New Roman" w:cs="Times New Roman"/>
          <w:color w:val="000000"/>
        </w:rPr>
        <w:t>privity</w:t>
      </w:r>
      <w:proofErr w:type="spellEnd"/>
      <w:r>
        <w:rPr>
          <w:rFonts w:ascii="Times New Roman" w:hAnsi="Times New Roman" w:cs="Times New Roman"/>
          <w:color w:val="000000"/>
        </w:rPr>
        <w:t xml:space="preserve"> of contract as between them and the plaintiffs. It was also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emphasised</w:t>
      </w:r>
      <w:proofErr w:type="spellEnd"/>
      <w:r>
        <w:rPr>
          <w:rFonts w:ascii="Times New Roman" w:hAnsi="Times New Roman" w:cs="Times New Roman"/>
          <w:color w:val="000000"/>
        </w:rPr>
        <w:t xml:space="preserve"> by the applicants that the plaintiffs had made it clear that the deposit was paid by them to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fourth defendant.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 plaintiffs were said to be seeking to enforce a contract for the sale of an interest in land,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contract had to be in writing; yet no such contract was produced as between the plaintiffs and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herein. Therefore, the applicants insist that the plaint discloses no cause of action against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also said that whereas the claim for the refund of the deposit sum had been made against all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four defendants, the plaintiffs had only made an earlier demand as against the fourth defendant.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any event, the title document showed that the suit property had belonged to the fourth defendant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only. Therefore, the applicants insist that they could not have contracted with the plaintiffs for the sale of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property which was not even theirs. In effect, the applicants say that the claim against them was not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maintainable.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the tail-end of his submissions,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Rach </w:t>
      </w:r>
      <w:r>
        <w:rPr>
          <w:rFonts w:ascii="Times New Roman" w:hAnsi="Times New Roman" w:cs="Times New Roman"/>
          <w:color w:val="000000"/>
        </w:rPr>
        <w:t>sought leave to amend the application, so that the prayer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for the striking out of the suit, rather than the dismissal thereof.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response to the application,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Odera</w:t>
      </w:r>
      <w:r>
        <w:rPr>
          <w:rFonts w:ascii="Times New Roman" w:hAnsi="Times New Roman" w:cs="Times New Roman"/>
          <w:color w:val="000000"/>
        </w:rPr>
        <w:t>, advocate for the plaintiff, strongly opposed the application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leave to amend the application in, what he termed, </w:t>
      </w: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 casual manner. As far as he was concerned,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proposed amendment would make a world of </w:t>
      </w:r>
      <w:r>
        <w:rPr>
          <w:rFonts w:ascii="Times New Roman" w:hAnsi="Times New Roman" w:cs="Times New Roman"/>
          <w:color w:val="000000"/>
        </w:rPr>
        <w:lastRenderedPageBreak/>
        <w:t>difference.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relation to that aspect of the application, I wish to </w:t>
      </w:r>
      <w:proofErr w:type="spellStart"/>
      <w:r>
        <w:rPr>
          <w:rFonts w:ascii="Times New Roman" w:hAnsi="Times New Roman" w:cs="Times New Roman"/>
          <w:color w:val="000000"/>
        </w:rPr>
        <w:t>emphasise</w:t>
      </w:r>
      <w:proofErr w:type="spellEnd"/>
      <w:r>
        <w:rPr>
          <w:rFonts w:ascii="Times New Roman" w:hAnsi="Times New Roman" w:cs="Times New Roman"/>
          <w:color w:val="000000"/>
        </w:rPr>
        <w:t xml:space="preserve"> the need for any party who wishes to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 his application, to do so at the earliest possible</w:t>
      </w:r>
      <w:r w:rsidR="003639E2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opportunity. Indeed, the most ideal time to seek leave to make an amendment is before delving into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substance of the application itself. And after putting forward its case for the proposed amendment,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should await the court’s decision thereon, as it would enable all the parties know whether or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the court had granted leave. Clearly, the court’s decision on that issue would then inform the course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action to be undertaken by the parties.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considered view, the manner in which the applicants sought leave to amend the application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herein was most inappropriate. I say so because having not passed a verdict on the said application, one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wonders whether the applicants based their submissions on the application as worded, or whether they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assumed that leave to amend was to be granted, so that the application was prosecuted on that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understanding.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must also be appreciated that a party who was a respondent to an application is entitled to sufficient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of that which he is to face. It is only when he is given adequate notice that the respondent can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properly prepare for the application.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Therefore, when an applicant serves an application on the other party, then makes submissions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thereon, it was not fair on the respondent to allow the applicant leave to amend the application so late in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day, if the proposed amendment would significantly alter the application. However, if the applicant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to make out a convincing case to justify his belated application for leave to amend the application,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should be willing to accord the respondent more time, if the same is sought by the said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So, I must now ask myself if the proposed amendment to the application would have a significant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impact on the application, if it were to be allowed.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Basically, the only change that the applicants wished to introduce was to the effect that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substantive prayer in the application be should for the striking out, instead of the dismissal of the suit.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 to the applicants, an order for dismissal of the suit would be no more than the consequence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striking out.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understanding of the provisions of Order VI, rule 13(1) of the Civil Procedure Rules,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do appear to have a point. I say so because that rule states that the court may order to be struck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or amended any pleading, and may order the suit to be stayed or dismissed or judgement to be entered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accordingly, as the case may be. Therefore, if the court were to ultimately grant an order to strike out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as against the applicants, it could then proceed to have the suit dismissed. In the circumstances, I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hold the view that the respondents could not be prejudiced by the amendment of the application in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manner proposed. In any event, if the respondents had felt that they needed more time to reconsider their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response to the applicants’ submissions, they only needed to have sought an adjournment, and I would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readily granted it. Accordingly, I do now grant leave to the applicants to amend the application, so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it is now seeking the striking out of the suit, instead of the dismissal thereof.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Secondly, the respondents submitted that insofar as the application was brought pursuant to Order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XVI, rule 5, the same was not proved. In that regard, the respondent is absolutely correct, as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did not even submit that the suit ought to be dismissed for want of prosecution. It is thus my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 view that the applicants must be deemed to have abandoned that particular prayer.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Next, I now move on to determine whether or not the applicants made out a case for striking out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suit, pursuant to the provisions of Order VI, rule 13(1) of the Civil Procedure Rules. In that regard,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applicants went to some length in their </w:t>
      </w:r>
      <w:proofErr w:type="spellStart"/>
      <w:r>
        <w:rPr>
          <w:rFonts w:ascii="Times New Roman" w:hAnsi="Times New Roman" w:cs="Times New Roman"/>
          <w:color w:val="000000"/>
        </w:rPr>
        <w:t>endeavour</w:t>
      </w:r>
      <w:proofErr w:type="spellEnd"/>
      <w:r>
        <w:rPr>
          <w:rFonts w:ascii="Times New Roman" w:hAnsi="Times New Roman" w:cs="Times New Roman"/>
          <w:color w:val="000000"/>
        </w:rPr>
        <w:t xml:space="preserve"> to demonstrate that the claim against them was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hopeless.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perusal of the court records reveals that the Plaint was filed on 26 September 2002. Thereafter,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defendants filed their joint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Counterclaim on 4 December 2002. And then the plaintiffs filed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Reply to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to Counterclaim on 10 December 2002.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Now, whereas it does appear that the applicants have a strong legal contention, founded on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apparent lack of </w:t>
      </w:r>
      <w:proofErr w:type="spellStart"/>
      <w:r>
        <w:rPr>
          <w:rFonts w:ascii="Times New Roman" w:hAnsi="Times New Roman" w:cs="Times New Roman"/>
          <w:color w:val="000000"/>
        </w:rPr>
        <w:t>privity</w:t>
      </w:r>
      <w:proofErr w:type="spellEnd"/>
      <w:r>
        <w:rPr>
          <w:rFonts w:ascii="Times New Roman" w:hAnsi="Times New Roman" w:cs="Times New Roman"/>
          <w:color w:val="000000"/>
        </w:rPr>
        <w:t xml:space="preserve"> of contract as between the plaintiffs, on the one hand, and the applicants on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hand, it is noteworthy that on 2 April 2003, all the parties to the suit signed and filed a Statement of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Agreed Issues. Out of the eight issues listed, the first 2 appear to address the concerns which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raised during the hearing of this application.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been signatories to the Statement of Issues, through which all the parties had decided on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which were to be placed before the trial court, for determination, the applicants have not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explained to this Court why they have now decided that the same said issues ought to now be determined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summarily.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unexplained change of heart, on the part of the applicants was even more perplexing as they had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filed their lists of the documents to be adduced at the trial. Thereafter, the suit had been set down for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on 12 July 2005.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court records, the reason for the trial not proceeding as scheduled, on 12 July 2005, was that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their advocate was engaged </w:t>
      </w:r>
      <w:r>
        <w:rPr>
          <w:rFonts w:ascii="Times New Roman" w:hAnsi="Times New Roman" w:cs="Times New Roman"/>
          <w:color w:val="000000"/>
        </w:rPr>
        <w:lastRenderedPageBreak/>
        <w:t>in another case which was going on at the High Court in Kisumu.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respondents relied on the authority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Sabayaga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Farmers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Co-operative Society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Mwita</w:t>
      </w:r>
      <w:proofErr w:type="spellEnd"/>
      <w:r w:rsidR="003639E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[1969] EA 38, for the proposition that applications to strike out pleadings should be made promptly, and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 general rule, before close of pleadings.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reading of that decision reveals that it was by the High Court of Tanzania, sitting in an appellate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capacity.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Seaton J was handling an appeal that emanated from the decision of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Resident Magistrate at </w:t>
      </w:r>
      <w:proofErr w:type="spellStart"/>
      <w:r>
        <w:rPr>
          <w:rFonts w:ascii="Times New Roman" w:hAnsi="Times New Roman" w:cs="Times New Roman"/>
          <w:color w:val="000000"/>
        </w:rPr>
        <w:t>Musoma</w:t>
      </w:r>
      <w:proofErr w:type="spellEnd"/>
      <w:r>
        <w:rPr>
          <w:rFonts w:ascii="Times New Roman" w:hAnsi="Times New Roman" w:cs="Times New Roman"/>
          <w:color w:val="000000"/>
        </w:rPr>
        <w:t xml:space="preserve">, who had struck out the appellant’s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Although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learned Judge found the said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to have been insufficient, he allowed the appeal, and gave to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time to file an Amended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arriving at that decision the learned Judge observed that the plaintiff (who was the respondent at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appeal) had made the application to strike out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when the case came up for hearing. By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time, the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had already been on the court file for a period of six months.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in that context that the learned Judge stated that an application to strike out a pleading under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VI, rule 6 of the Civil Procedure Code (of Tanzania), should be made with reasonable promptitude,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as a rule, before the close of pleadings.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a perusal of our Civil Procedure Rules, I failed to trace any requirement that was similar to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in Order VI, rule 6 of the Tanzanian Code. If anything, our Order VI, rule 13(1) states expressly that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may order to be struck out any pleading, at any stage of the proceedings. Therefore, I hold that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decision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Sabayaga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Farmers’ Co-operative Society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Mwita</w:t>
      </w:r>
      <w:proofErr w:type="spellEnd"/>
      <w:r>
        <w:rPr>
          <w:rFonts w:ascii="Times New Roman" w:hAnsi="Times New Roman" w:cs="Times New Roman"/>
          <w:color w:val="000000"/>
        </w:rPr>
        <w:t>, does not have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before our courts, as we do not have similar provisions.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when there is a delay in bringing an application to strike out pleadings, such delay may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nonetheless work against the applicant. As I have already demonstrated, the applicants had, before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bringing this application, signed a Statement of Agreed Issues. They had also filed their list of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documents. All those steps which were taken by the applicants were inconsistent with their current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contention, that there were no triable issues.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</w:t>
      </w:r>
      <w:proofErr w:type="spellStart"/>
      <w:r>
        <w:rPr>
          <w:rFonts w:ascii="Times New Roman" w:hAnsi="Times New Roman" w:cs="Times New Roman"/>
          <w:color w:val="000000"/>
        </w:rPr>
        <w:t>well known</w:t>
      </w:r>
      <w:proofErr w:type="spellEnd"/>
      <w:r>
        <w:rPr>
          <w:rFonts w:ascii="Times New Roman" w:hAnsi="Times New Roman" w:cs="Times New Roman"/>
          <w:color w:val="000000"/>
        </w:rPr>
        <w:t xml:space="preserve"> case of </w:t>
      </w:r>
      <w:r>
        <w:rPr>
          <w:rFonts w:ascii="Times New Roman" w:hAnsi="Times New Roman" w:cs="Times New Roman"/>
          <w:i/>
          <w:iCs/>
          <w:color w:val="000000"/>
        </w:rPr>
        <w:t xml:space="preserve">DT Dobie and Company (Kenya)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Muchina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[1978]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LLR 9 (CAK) the Court of Appeal quoted, with approval, the following words of Denman J in </w:t>
      </w:r>
      <w:r>
        <w:rPr>
          <w:rFonts w:ascii="Times New Roman" w:hAnsi="Times New Roman" w:cs="Times New Roman"/>
          <w:i/>
          <w:iCs/>
          <w:color w:val="000000"/>
        </w:rPr>
        <w:t>Kellaway</w:t>
      </w:r>
      <w:r w:rsidR="003639E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v Bury </w:t>
      </w:r>
      <w:r>
        <w:rPr>
          <w:rFonts w:ascii="Times New Roman" w:hAnsi="Times New Roman" w:cs="Times New Roman"/>
          <w:color w:val="000000"/>
        </w:rPr>
        <w:t>[1892] 66 LT 599 at 600 and 601: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“That is a very strong power, and should only be exercised in cases which are clear and beyond all</w:t>
      </w:r>
      <w:r w:rsidR="003639E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doubt. . .the court must see that the plaintiff has got no case at all, either as disclosed in the statement of claim</w:t>
      </w:r>
      <w:r w:rsidR="003639E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in such affidavits as he may file with a view to amendments.”</w:t>
      </w:r>
      <w:r w:rsidR="003639E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my view, once the parties to the suit had themselves already formulated a list of eight issues, which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to be placed before the trial court I find it hard to then say that the plaintiffs have no case at all. If it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so clear and beyond doubt that the plaintiffs herein did not have any case at all, the parties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have had no reason to formulate the eight issues.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know that the applicants have asked me to go through the documents filed herein, with a view to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verifying that the plaintiffs’ case was hopeless. However, I believe that it is important for me to find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assistance from the following words of Sellers LJ, in </w:t>
      </w:r>
      <w:r>
        <w:rPr>
          <w:rFonts w:ascii="Times New Roman" w:hAnsi="Times New Roman" w:cs="Times New Roman"/>
          <w:i/>
          <w:iCs/>
          <w:color w:val="000000"/>
        </w:rPr>
        <w:t xml:space="preserve">Wenlock v Maloney and others </w:t>
      </w:r>
      <w:r>
        <w:rPr>
          <w:rFonts w:ascii="Times New Roman" w:hAnsi="Times New Roman" w:cs="Times New Roman"/>
          <w:color w:val="000000"/>
        </w:rPr>
        <w:t>[1965] 1 WLR 1238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1242, which words were cited with approval by the Court of Appeal in the </w:t>
      </w:r>
      <w:r>
        <w:rPr>
          <w:rFonts w:ascii="Times New Roman" w:hAnsi="Times New Roman" w:cs="Times New Roman"/>
          <w:i/>
          <w:iCs/>
          <w:color w:val="000000"/>
        </w:rPr>
        <w:t xml:space="preserve">DT Dobie </w:t>
      </w:r>
      <w:r>
        <w:rPr>
          <w:rFonts w:ascii="Times New Roman" w:hAnsi="Times New Roman" w:cs="Times New Roman"/>
          <w:color w:val="000000"/>
        </w:rPr>
        <w:t>case: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“This summary jurisdiction of the court was never intended to be exercised by a minute and a protracted</w:t>
      </w:r>
      <w:r w:rsidR="003639E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examination of documents and the facts of the case in order to see whether the plaintiff really has a cause of</w:t>
      </w:r>
      <w:r w:rsidR="003639E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action. To do that is to usurp the position of the trial judge, and to produce a trial of the case in chambers, on</w:t>
      </w:r>
      <w:r w:rsidR="003639E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affidavits only, without discovery and without oral evidence tested by cross-examination in the ordinary way.</w:t>
      </w:r>
      <w:r w:rsidR="003639E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seems to me to be an abuse of the inherent power of the court and not a proper exercise of that power.”</w:t>
      </w:r>
      <w:r w:rsidR="003639E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Bearing in mind that wise counsel, I note that on the Statement of Agreed Issues, the one numbered 4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reads as follows: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“Whether the defendants acted fraudulently against the plaintiffs as pleaded in paragraph 14 of the plaint.”</w:t>
      </w:r>
      <w:r w:rsidR="003639E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 reading of paragraph 14 of the plaint indicates that the act of fraud which is attributable to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defendants was the sale of the suit property to third parties, after the same had already, allegedly, been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sold to the plaintiffs.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Whilst, it is true that the applicants could not sell something which was not their property, in the first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instance, it is instructive to note that the plaintiffs have alleged that there was fraud perpetrated by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defendants. If the applicants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were directors of the fourth defendants, and if the said fourth defendants’ were ultimately held to be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liable for selling and transferring the suit property to third parties fraudulently, it is just possible that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or any of them who may have been carrying out the actions on behalf of the fourth defendant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also be personally liable.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Standard Chartered Bank v Pakistan National Shipping Corp and others (2) </w:t>
      </w:r>
      <w:r>
        <w:rPr>
          <w:rFonts w:ascii="Times New Roman" w:hAnsi="Times New Roman" w:cs="Times New Roman"/>
          <w:color w:val="000000"/>
        </w:rPr>
        <w:t>[2002] 2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ER 931, the House of Lords held that a director of a company could not escape liability for deceit on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ground that his or her act had been committed on behalf of the company. They also held that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liability of such a person was not due to the fact that he was a </w:t>
      </w:r>
      <w:r>
        <w:rPr>
          <w:rFonts w:ascii="Times New Roman" w:hAnsi="Times New Roman" w:cs="Times New Roman"/>
          <w:color w:val="000000"/>
        </w:rPr>
        <w:lastRenderedPageBreak/>
        <w:t>director, but was by virtue of his having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committed a fraud.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light of that authority, if the plaintiffs were able to adduce evidence to prove that the applicants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commit fraudulent acts, the applicants could be liable. Therefore, I cannot conclude that the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plaintiff’s case herein was hopeless. And, on that ground alone, the application fails.</w:t>
      </w:r>
      <w:r w:rsidR="003639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Accordingly, the application dated 9 March 2006 is dismissed with costs.</w:t>
      </w:r>
    </w:p>
    <w:p w:rsidR="00A91902" w:rsidRDefault="00A91902" w:rsidP="00A91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A91902" w:rsidRDefault="00A91902" w:rsidP="00A91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Rach</w:t>
      </w:r>
    </w:p>
    <w:p w:rsidR="00A91902" w:rsidRDefault="00A91902" w:rsidP="00A91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A91902" w:rsidP="00A91902"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Odera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02"/>
    <w:rsid w:val="003639E2"/>
    <w:rsid w:val="00A91902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05AC6-2CF7-407F-8169-AD1D2208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2396</Words>
  <Characters>13661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2018-07-05T06:38:00Z</dcterms:created>
  <dcterms:modified xsi:type="dcterms:W3CDTF">2018-07-13T08:32:00Z</dcterms:modified>
</cp:coreProperties>
</file>