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Mediratta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Kenya Commercial Bank and others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 of Kenya at Nairobi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19 May 2006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21/05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Execution – Stay of Execution of Order – Applicable principles.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ruling delivered on 9 May 2005, the High Court dismissed with costs the plaintiff’s application for an</w:t>
      </w:r>
      <w:r w:rsidR="00047B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to restrain the first and second defendants from transferring, charging, taking possession of or</w:t>
      </w:r>
      <w:r w:rsidR="00047B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howsoever from exercising proprietary rights over a certain parcel of land. Following the</w:t>
      </w:r>
      <w:r w:rsidR="00047B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delivery of the ruling the plaintiff sought a stay of execution of that order pending preparation of an</w:t>
      </w:r>
      <w:r w:rsidR="00047B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appeal on that ruling to the Court of Appeal. The application was made orally pursuant to the</w:t>
      </w:r>
      <w:r w:rsidR="00047B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Order XLI, rule 4(5) of the Civil Procedure Rules. The application was declined. The</w:t>
      </w:r>
      <w:r w:rsidR="00047B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then filed a formal application to the High Court seeking a stay of the order.</w:t>
      </w:r>
      <w:r w:rsidR="00047B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principles for grant of a stay of execution at the High Court as set out in Order XLI, rule 4(2)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which the applicant must satisfy are: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Substantial loss may result unless the stay is given.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application for stay had been lodged without delay; and</w:t>
      </w:r>
    </w:p>
    <w:p w:rsidR="004173E6" w:rsidRDefault="00047BD9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  <w:r w:rsidR="004173E6">
        <w:rPr>
          <w:rFonts w:ascii="Times New Roman" w:hAnsi="Times New Roman" w:cs="Times New Roman"/>
          <w:color w:val="000000"/>
        </w:rPr>
        <w:t>(iii) The applicant has furnished security for due performance.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XLI, rule 4(5) of the Civil Procedure Rules implies that following an informal (verbal) application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there is a response or an order from the court or judge presiding over the matter, the pronouncement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the judge or court, whether “there be a stay” or “there be no stay or the order granted” is final and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binding</w:t>
      </w:r>
      <w:proofErr w:type="gramEnd"/>
      <w:r>
        <w:rPr>
          <w:rFonts w:ascii="Times New Roman" w:hAnsi="Times New Roman" w:cs="Times New Roman"/>
          <w:color w:val="000000"/>
        </w:rPr>
        <w:t xml:space="preserve"> upon the parties and the court 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functus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officio </w:t>
      </w:r>
      <w:r>
        <w:rPr>
          <w:rFonts w:ascii="Times New Roman" w:hAnsi="Times New Roman" w:cs="Times New Roman"/>
          <w:color w:val="000000"/>
        </w:rPr>
        <w:t>thereafter.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Century Oil Trading Company Limited v Kenya Shell Limited </w:t>
      </w:r>
      <w:r>
        <w:rPr>
          <w:rFonts w:ascii="Times New Roman" w:hAnsi="Times New Roman" w:cs="Times New Roman"/>
          <w:color w:val="000000"/>
        </w:rPr>
        <w:t>[2003] 1 EA 41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Kenon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Court v Giro Commercial Bank Limited </w:t>
      </w:r>
      <w:r>
        <w:rPr>
          <w:rFonts w:ascii="Times New Roman" w:hAnsi="Times New Roman" w:cs="Times New Roman"/>
          <w:color w:val="000000"/>
        </w:rPr>
        <w:t xml:space="preserve">Nairobi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Courts, High Court civil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case</w:t>
      </w:r>
      <w:proofErr w:type="gramEnd"/>
      <w:r>
        <w:rPr>
          <w:rFonts w:ascii="Times New Roman" w:hAnsi="Times New Roman" w:cs="Times New Roman"/>
          <w:color w:val="000000"/>
        </w:rPr>
        <w:t xml:space="preserve"> number 789 of 1999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MM Butt v The Rent Restriction Tribunal (Respondent) and ZN Shah and SM Shah </w:t>
      </w:r>
      <w:r>
        <w:rPr>
          <w:rFonts w:ascii="Times New Roman" w:hAnsi="Times New Roman" w:cs="Times New Roman"/>
          <w:color w:val="000000"/>
        </w:rPr>
        <w:t>civil appeal number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Nairobi 6 of 1979</w:t>
      </w:r>
    </w:p>
    <w:p w:rsidR="004173E6" w:rsidRDefault="004173E6" w:rsidP="00417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AB7022" w:rsidRDefault="004173E6" w:rsidP="004173E6">
      <w:proofErr w:type="spellStart"/>
      <w:r>
        <w:rPr>
          <w:rFonts w:ascii="Times New Roman" w:hAnsi="Times New Roman" w:cs="Times New Roman"/>
          <w:i/>
          <w:iCs/>
          <w:color w:val="000000"/>
        </w:rPr>
        <w:t>Erinford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Properties Limited v Cheshire County Council </w:t>
      </w:r>
      <w:r>
        <w:rPr>
          <w:rFonts w:ascii="Times New Roman" w:hAnsi="Times New Roman" w:cs="Times New Roman"/>
          <w:color w:val="000000"/>
        </w:rPr>
        <w:t>[1974] 2 All ER 448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E6"/>
    <w:rsid w:val="00047BD9"/>
    <w:rsid w:val="004173E6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173BC-6A96-42E1-9BCB-4F9DBF81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2018-07-05T06:39:00Z</dcterms:created>
  <dcterms:modified xsi:type="dcterms:W3CDTF">2018-07-13T08:37:00Z</dcterms:modified>
</cp:coreProperties>
</file>