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Mediratta v Kenya Commercial Bank and others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[2006] 2 EA 194 (CCK)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 of Kenya at Nairobi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19 May 2006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21/05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Emukule J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E Ongoya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Execution – Stay of Execution of Order – Applicable principles.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ruling delivered on 9 May 2005, the High Court dismissed with costs the plaintiff’s application for an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injunction to restrain the first and second defendants from transferring, charging, taking possession of or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otherwise howsoever from exercising proprietary rights over a certain parcel of land. Following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delivery of the ruling the plaintiff sought a stay of execution of that order pending preparation of an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intended appeal on that ruling to the Court of Appeal. The application was made orally pursuant to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of Order XLI, rule 4(5) of the Civil Procedure Rules. The application was declined.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 then filed a formal application to the High Court seeking a stay of the order.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principles for grant of a stay of execution at the High Court as set out in Order XLI, rule 4(2)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which the applicant must satisfy are: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Substantial loss may result unless the stay is given.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application for stay had been lodged without delay; and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195 of [2006] 2 EA 194 (CCK)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The applicant has furnished security for due performance.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XLI, rule 4(5) of the Civil Procedure Rules implies that following an informal (verbal) application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there is a response or an order from the court or judge presiding over the matter, the pronouncement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the judge or court, whether “there be a stay” or “there be no stay or the order granted” is final and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binding upon the parties and the court is </w:t>
      </w:r>
      <w:r>
        <w:rPr>
          <w:rFonts w:ascii="Times New Roman" w:hAnsi="Times New Roman" w:cs="Times New Roman"/>
          <w:i/>
          <w:iCs/>
          <w:color w:val="000000"/>
        </w:rPr>
        <w:t xml:space="preserve">functus officio </w:t>
      </w:r>
      <w:r>
        <w:rPr>
          <w:rFonts w:ascii="Times New Roman" w:hAnsi="Times New Roman" w:cs="Times New Roman"/>
          <w:color w:val="000000"/>
        </w:rPr>
        <w:t>thereafter.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Century Oil Trading Company Limited v Kenya Shell Limited </w:t>
      </w:r>
      <w:r>
        <w:rPr>
          <w:rFonts w:ascii="Times New Roman" w:hAnsi="Times New Roman" w:cs="Times New Roman"/>
          <w:color w:val="000000"/>
        </w:rPr>
        <w:t>[2003] 1 EA 41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Kenon Court v Giro Commercial Bank Limited </w:t>
      </w:r>
      <w:r>
        <w:rPr>
          <w:rFonts w:ascii="Times New Roman" w:hAnsi="Times New Roman" w:cs="Times New Roman"/>
          <w:color w:val="000000"/>
        </w:rPr>
        <w:t>Nairobi Milimani Commercial Courts, High Court civil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number 789 of 1999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MM Butt v The Rent Restriction Tribunal (Respondent) and ZN Shah and SM Shah </w:t>
      </w:r>
      <w:r>
        <w:rPr>
          <w:rFonts w:ascii="Times New Roman" w:hAnsi="Times New Roman" w:cs="Times New Roman"/>
          <w:color w:val="000000"/>
        </w:rPr>
        <w:t>civil appeal number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Nairobi 6 of 1979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Erinford Properties Limited v Cheshire County Council </w:t>
      </w:r>
      <w:r>
        <w:rPr>
          <w:rFonts w:ascii="Times New Roman" w:hAnsi="Times New Roman" w:cs="Times New Roman"/>
          <w:color w:val="000000"/>
        </w:rPr>
        <w:t>[1974] 2 All ER 448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Emukule J: </w:t>
      </w:r>
      <w:r>
        <w:rPr>
          <w:rFonts w:ascii="Times New Roman" w:hAnsi="Times New Roman" w:cs="Times New Roman"/>
          <w:color w:val="000000"/>
        </w:rPr>
        <w:t>By a ruling delivered on 9 May 2005 my brother Mr Justice Azangalala dismissed with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costs, the plaintiff’s application for an injunction to restrain the first and second defendants from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transferring, charging, taking possession or otherwise howsoever from exercising proprietary rights over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Reference number 209/5535, Ralph Bunch Road Nairobi until this suit is heard and determined.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the delivery of the said ruling the plaintiff sought through her learned Counsel Mr Gichuki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Kingara</w:t>
      </w:r>
      <w:r>
        <w:rPr>
          <w:rFonts w:ascii="Times New Roman" w:hAnsi="Times New Roman" w:cs="Times New Roman"/>
          <w:color w:val="000000"/>
        </w:rPr>
        <w:t>, a stay of execution of that order pending his preparation of an intended appeal on that ruling to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Appeal. That application was made orally pursuant to the provisions of Order XLI, rule 4(5)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Civil Procedure Rules, which provides that “An application for stay of execution may be made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informally immediately following a judgement or ruling”. My brother Mr Justice Azangalala declined to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grant the plaintiff’s application for stay of the order dismissing the injunctive application. This decision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upset the plaintiff’s Counsel, who accused the said Judge of bias against his client by dismissing both her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for injunction, and declining to grant a stay of that order.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Subsequent to those events on 9 May 2005, the plaintiff filed the current application on 10 May 2005,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a Certificate of Urgency and seeking a stay of the order of Mr Justice Azangalala. The application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went before Mr Justice Waweru, the Presiding Judge, who ordered that the matter be placed before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Honourable Mr Justice Azangalala. However when this matter went before Mr Justice Azangalala,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plaintiff’s counsel felt apprehensive that his client would not receive sympathy from the same Court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had just dismissed her application, for injunction, and the order of which he was seeking a stay.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 brother Justice Azangalala being a decent and a judge of high integrity,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196 of [2006] 2 EA 194 (CCK)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not worthy of being accused of bias, in his humble mien declined to hear the application at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request of the plaintiff’s counsel. That is how this matter landed on my desk.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Thus when this matter was urged before me on 12 May 2005, Mr Gichuki </w:t>
      </w:r>
      <w:r>
        <w:rPr>
          <w:rFonts w:ascii="Times New Roman" w:hAnsi="Times New Roman" w:cs="Times New Roman"/>
          <w:i/>
          <w:iCs/>
          <w:color w:val="000000"/>
        </w:rPr>
        <w:t xml:space="preserve">Kingara </w:t>
      </w:r>
      <w:r>
        <w:rPr>
          <w:rFonts w:ascii="Times New Roman" w:hAnsi="Times New Roman" w:cs="Times New Roman"/>
          <w:color w:val="000000"/>
        </w:rPr>
        <w:t>was passionate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his client be granted just a stay of 10 days to enable him prepare his papers for the intended appeal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Court of Appeal. He told the court that the plaintiff was very concerned about the validity of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Charge, which he said did not conform with the provisions of section 46 of the Registration of Titles Act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(Chapter 281). The plaintiff had given the suit property on the understanding that the Borrower would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 other securities to secure the loans, and would not endanger her property and that the plaintiff was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completely discharged from her guarantee the moment the first defendant increased the facilities to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Borrower.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 arguments are appropriate perhaps on appeal but hardly in this application.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did however urge that even after refusing to grant an injunction, the Court may still grant an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for stay. Counsel relied upon the decision of Megarry J in the case of </w:t>
      </w:r>
      <w:r>
        <w:rPr>
          <w:rFonts w:ascii="Times New Roman" w:hAnsi="Times New Roman" w:cs="Times New Roman"/>
          <w:i/>
          <w:iCs/>
          <w:color w:val="000000"/>
        </w:rPr>
        <w:t>Erinford Properties Limited v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Cheshire County Council </w:t>
      </w:r>
      <w:r>
        <w:rPr>
          <w:rFonts w:ascii="Times New Roman" w:hAnsi="Times New Roman" w:cs="Times New Roman"/>
          <w:color w:val="000000"/>
        </w:rPr>
        <w:t xml:space="preserve">[1974] 2 All ER 448 where that learned Judge held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“where 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dismisses an interlocutory motion for an injunction he has jurisdiction to grant the unsuccessful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 an injunction pending an appeal against the dismissal, that it is not necessary for the applicant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apply to the Court of Appeal, and that there is no inconsistency in granting such an injunction after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dismissing the motion for the purpose of the order is to prevent the Court of Appeal’s decision from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rendered nugatory should that court reverse the judge’s decision.”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also relied upon the decision of Mbaluto J in </w:t>
      </w:r>
      <w:r>
        <w:rPr>
          <w:rFonts w:ascii="Times New Roman" w:hAnsi="Times New Roman" w:cs="Times New Roman"/>
          <w:i/>
          <w:iCs/>
          <w:color w:val="000000"/>
        </w:rPr>
        <w:t>Kenon Court v Giro Commercial Bank Limited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(Nairobi, Milimani Commercial Courts, High Court civil case number 789 of 1999) in which the learned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granted a stay of 60 days pending the preparation of the record for the intended appeal on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 that the value of the suit property in that case, then valued at over KShs 55 million would not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materially depreciate within those days.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Madan JA (as he then was) applied the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Erinford Properties v Cheshire </w:t>
      </w:r>
      <w:r>
        <w:rPr>
          <w:rFonts w:ascii="Times New Roman" w:hAnsi="Times New Roman" w:cs="Times New Roman"/>
          <w:color w:val="000000"/>
        </w:rPr>
        <w:t>County Council, in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MM Butt v The Rent Restriction Tribunal (respondent)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ZN Shah and SM Shah </w:t>
      </w:r>
      <w:r>
        <w:rPr>
          <w:rFonts w:ascii="Times New Roman" w:hAnsi="Times New Roman" w:cs="Times New Roman"/>
          <w:color w:val="000000"/>
        </w:rPr>
        <w:t>civil appeal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Nairobi 6 of 1979.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urged this Court to follow those decisions and the decision of Mwera J in the case of </w:t>
      </w:r>
      <w:r>
        <w:rPr>
          <w:rFonts w:ascii="Times New Roman" w:hAnsi="Times New Roman" w:cs="Times New Roman"/>
          <w:i/>
          <w:iCs/>
          <w:color w:val="000000"/>
        </w:rPr>
        <w:t>Century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Oil Trading Company Limited v Kenya Shell Limited </w:t>
      </w:r>
      <w:r>
        <w:rPr>
          <w:rFonts w:ascii="Times New Roman" w:hAnsi="Times New Roman" w:cs="Times New Roman"/>
          <w:color w:val="000000"/>
        </w:rPr>
        <w:t>[2003] 1 EA 41, where the Court after restraining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from calling in a guarantee from the plaintiff’s guarantor but went ahead and ordered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 to furnish security for due performance of its obligations as it was not confortable to order that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properties already charged to the Bank be subject of this security as was suggested by the plaintiff. (It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noted that that decision is subject of appeal to the Court of Appeal which is yet to hear and render its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decision.)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application was predictably opposed by Mr </w:t>
      </w:r>
      <w:r>
        <w:rPr>
          <w:rFonts w:ascii="Times New Roman" w:hAnsi="Times New Roman" w:cs="Times New Roman"/>
          <w:i/>
          <w:iCs/>
          <w:color w:val="000000"/>
        </w:rPr>
        <w:t xml:space="preserve">Gichuhi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Lukadiru</w:t>
      </w:r>
      <w:r>
        <w:rPr>
          <w:rFonts w:ascii="Times New Roman" w:hAnsi="Times New Roman" w:cs="Times New Roman"/>
          <w:color w:val="000000"/>
        </w:rPr>
        <w:t>, learned Counsel for the first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second defendants respectively. Mr </w:t>
      </w:r>
      <w:r>
        <w:rPr>
          <w:rFonts w:ascii="Times New Roman" w:hAnsi="Times New Roman" w:cs="Times New Roman"/>
          <w:i/>
          <w:iCs/>
          <w:color w:val="000000"/>
        </w:rPr>
        <w:t xml:space="preserve">Lukadiru </w:t>
      </w:r>
      <w:r>
        <w:rPr>
          <w:rFonts w:ascii="Times New Roman" w:hAnsi="Times New Roman" w:cs="Times New Roman"/>
          <w:color w:val="000000"/>
        </w:rPr>
        <w:t xml:space="preserve">associated himself with the submissions by Mr </w:t>
      </w:r>
      <w:r>
        <w:rPr>
          <w:rFonts w:ascii="Times New Roman" w:hAnsi="Times New Roman" w:cs="Times New Roman"/>
          <w:i/>
          <w:iCs/>
          <w:color w:val="000000"/>
        </w:rPr>
        <w:t>Gichuhi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for the first defendant. For the second defendant Mr </w:t>
      </w:r>
      <w:r>
        <w:rPr>
          <w:rFonts w:ascii="Times New Roman" w:hAnsi="Times New Roman" w:cs="Times New Roman"/>
          <w:i/>
          <w:iCs/>
          <w:color w:val="000000"/>
        </w:rPr>
        <w:t xml:space="preserve">Lukadiru </w:t>
      </w:r>
      <w:r>
        <w:rPr>
          <w:rFonts w:ascii="Times New Roman" w:hAnsi="Times New Roman" w:cs="Times New Roman"/>
          <w:color w:val="000000"/>
        </w:rPr>
        <w:t>submitted firstly that there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197 of [2006] 2 EA 194 (CCK)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 doubt whether there was cause of action against the second defendant, and secondly that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application, the subject of this ruling should have been made to the Court of Appeal.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Gichuhi</w:t>
      </w:r>
      <w:r>
        <w:rPr>
          <w:rFonts w:ascii="Times New Roman" w:hAnsi="Times New Roman" w:cs="Times New Roman"/>
          <w:color w:val="000000"/>
        </w:rPr>
        <w:t>’s arguments were equally brief. Counsel submitted that the matters herein had been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canvassed by the three counsel, and the plaintiff’s application was dismissed. The subsequent application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made under rule 4(5) of Order XLI was also dismissed. The Court was </w:t>
      </w:r>
      <w:r>
        <w:rPr>
          <w:rFonts w:ascii="Times New Roman" w:hAnsi="Times New Roman" w:cs="Times New Roman"/>
          <w:i/>
          <w:iCs/>
          <w:color w:val="000000"/>
        </w:rPr>
        <w:t>functus officio</w:t>
      </w:r>
      <w:r>
        <w:rPr>
          <w:rFonts w:ascii="Times New Roman" w:hAnsi="Times New Roman" w:cs="Times New Roman"/>
          <w:color w:val="000000"/>
        </w:rPr>
        <w:t>. The matter was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res judicata</w:t>
      </w:r>
      <w:r>
        <w:rPr>
          <w:rFonts w:ascii="Times New Roman" w:hAnsi="Times New Roman" w:cs="Times New Roman"/>
          <w:color w:val="000000"/>
        </w:rPr>
        <w:t>, under section 7 of the Civil Procedure Act. The same issue, between the same parties had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been determined by a court of competent jurisdiction.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no evidence that the first defendant was oversecured to the tune of KShs 1,0 billion.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essence of Mr Justice Azangalala’s ruling at 17 was that the plaintiff was guilty of material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non-disclosures and her conduct did not meet the approval of a Court of equity, and was consequently not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entitled to the equitable remedy of injunction.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debt currently stood at over KShs 280 million. The property in issue was valued at KShs 125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million according to the Further Replying Affidavit of John Oringo, sworn on 11 May 2005 filed on 11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May 2005. There is no offer to pay or add security in consideration of the orders sought. A Court of law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may have sympathy for a party but it must remain first and foremost a Court of law.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is what the parties told the Court. I set out my opinion in the paragraphs following.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XLI, rule 4(1) of the Civil Procedure Rules empowers this Court for sufficient cause to order 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stay of execution of its decree or order. The same rule confers upon the Court of Appeal the same powers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stay execution. For the Court of Appeal to grant a stay of execution, the applicant must satisfy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of rule 5(2)(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rules of that Court, that: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“(i) The intended appeal is arguable and not frivolous at all;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ii) That if the injunction or stay order is not issued and the intended appeal eventually succeeds, it will be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rendered nugatory by the refusal of the grant of such injunction or stay.”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not here concerned with the principles for grant of stay or injunction in the Court of Appeal,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although as observed by Mwera J in </w:t>
      </w:r>
      <w:r>
        <w:rPr>
          <w:rFonts w:ascii="Times New Roman" w:hAnsi="Times New Roman" w:cs="Times New Roman"/>
          <w:i/>
          <w:iCs/>
          <w:color w:val="000000"/>
        </w:rPr>
        <w:t xml:space="preserve">Century Oil Trading Company Limited v Kenya Shell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often mix up these principles with those applicable for grant of stay in this Court. The principles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grant of a stay in this Court are set out in Order XLI, rule 4(2) and which the applicant must satisfy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that: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“(i) Substantial loss may result unless the stay is given;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ii) The application for stay had been lodged without delay; and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The applicant has furnished security for due performance.”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herein was lodged promptly in fact on the next day following the dismissal of the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interlocutory application. There was no delay in filing the application for stay. I cannot however say that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plaintiff/applicant has satisfied the conditions for grant of stay by this Court, that the plaintiff will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suffer substantial loss unless the stay order is given and the applicant has made it clear that it will not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furnish any security to the first defendant.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these reasons, the plaintiff has failed to satisfy this Court on the cumulative grounds for granting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stay under Order XLI, rule 4(2) as set out above.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198 of [2006] 2 EA 194 (CCK)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however another reason why this application should fail. Order XLI, rule 4(5) of the Civil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Rules which I set out again provides: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 application for stay of execution may be made informally immediately following the delivery of 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judgment or ruling.”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 understanding of that rule is that following such an informal (meaning verbal) application, there is 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response or an order from the Court or Judge presiding over the matter, the pronouncement by the Judge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Court whether “there be a stay” or “there be no stay of the order granted” or as in this case: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“Counsel of the plaintiff has sought an interim injunction pending the filing of a formal application. I am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afraid I have already ruled on this matter. There is nothing to prevent the plaintiff from filing a Notice of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Appeal and formal application today. The stay or interim order sought is refused.”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That order is final and binding upon the parties, and the Court is </w:t>
      </w:r>
      <w:r>
        <w:rPr>
          <w:rFonts w:ascii="Times New Roman" w:hAnsi="Times New Roman" w:cs="Times New Roman"/>
          <w:i/>
          <w:iCs/>
          <w:color w:val="000000"/>
        </w:rPr>
        <w:t xml:space="preserve">functus officio </w:t>
      </w:r>
      <w:r>
        <w:rPr>
          <w:rFonts w:ascii="Times New Roman" w:hAnsi="Times New Roman" w:cs="Times New Roman"/>
          <w:color w:val="000000"/>
        </w:rPr>
        <w:t>thereafter.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only recourse, as my brother Justice Azangalala clearly indicated is for the aggrieved party in this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case, the plaintiff is to file an appeal for stay to the Court of Appeal in terms of Order XLI, rule 4(1) of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Civil Procedure Rules, and of course the Rules of that Court.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these reasons, the plaintiff’s Notice of Motion dated 10 May 2005 is dismissed with costs.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Gichuki </w:t>
      </w:r>
      <w:r>
        <w:rPr>
          <w:rFonts w:ascii="Times New Roman" w:hAnsi="Times New Roman" w:cs="Times New Roman"/>
          <w:i/>
          <w:iCs/>
          <w:color w:val="000000"/>
        </w:rPr>
        <w:t>Kingara</w:t>
      </w:r>
    </w:p>
    <w:p w:rsidR="00F15FA2" w:rsidRDefault="00F15FA2" w:rsidP="00F1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F15FA2" w:rsidP="00F15FA2">
      <w:r>
        <w:rPr>
          <w:rFonts w:ascii="Times New Roman" w:hAnsi="Times New Roman" w:cs="Times New Roman"/>
          <w:color w:val="000000"/>
        </w:rPr>
        <w:lastRenderedPageBreak/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Gichuhi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Lukadiru</w:t>
      </w:r>
      <w:bookmarkStart w:id="0" w:name="_GoBack"/>
      <w:bookmarkEnd w:id="0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A2"/>
    <w:rsid w:val="00AB7022"/>
    <w:rsid w:val="00F1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3ECBC-6ABE-47B0-A5BC-A2DC7D5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2018-07-05T06:39:00Z</dcterms:created>
  <dcterms:modified xsi:type="dcterms:W3CDTF">2018-07-05T06:39:00Z</dcterms:modified>
</cp:coreProperties>
</file>