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003" w:rsidRDefault="00146003" w:rsidP="00B65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Meme v Republic</w:t>
      </w:r>
    </w:p>
    <w:p w:rsidR="00146003" w:rsidRDefault="00146003" w:rsidP="00B65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146003" w:rsidRDefault="00146003" w:rsidP="00B65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24 June 2004</w:t>
      </w:r>
    </w:p>
    <w:p w:rsidR="00146003" w:rsidRDefault="00146003" w:rsidP="00B65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495/03</w:t>
      </w:r>
    </w:p>
    <w:p w:rsidR="00146003" w:rsidRDefault="00146003" w:rsidP="00B65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Rawal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Njagi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Ojwang</w:t>
      </w:r>
      <w:proofErr w:type="spellEnd"/>
      <w:r>
        <w:rPr>
          <w:rFonts w:ascii="Times New Roman" w:hAnsi="Times New Roman" w:cs="Times New Roman"/>
          <w:color w:val="000000"/>
        </w:rPr>
        <w:t xml:space="preserve"> JJ</w:t>
      </w:r>
    </w:p>
    <w:p w:rsidR="00146003" w:rsidRDefault="00146003" w:rsidP="00B65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146003" w:rsidRDefault="00146003" w:rsidP="00B65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123693" w:rsidRDefault="00146003" w:rsidP="00146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Constitution – Procedure – Joinder of interested parties – Principles to be applied – Applicant</w:t>
      </w:r>
      <w:r w:rsidR="0012369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sought declaration that Anti-Corruption Commission was unconstitutional – Whether natural justice and</w:t>
      </w:r>
      <w:r w:rsidR="0012369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public interest required that Anti-Corruption Commission be joined – Protect</w:t>
      </w:r>
      <w:bookmarkStart w:id="0" w:name="_GoBack"/>
      <w:bookmarkEnd w:id="0"/>
      <w:r>
        <w:rPr>
          <w:rFonts w:ascii="Times New Roman" w:hAnsi="Times New Roman" w:cs="Times New Roman"/>
          <w:i/>
          <w:iCs/>
          <w:color w:val="000000"/>
        </w:rPr>
        <w:t>ion of Fundamental Rights</w:t>
      </w:r>
      <w:r w:rsidR="0012369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and Freedoms of Individual (Practice and Procedure) Rules 2001.</w:t>
      </w:r>
      <w:r w:rsidR="0012369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[2] Constitution – Right of fair trial – New courts established to fight corruption – Powers of</w:t>
      </w:r>
      <w:r w:rsidR="0012369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prosecution and investigation vested in new institutions – Whether constitutional – Whether</w:t>
      </w:r>
      <w:r w:rsidR="0012369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prosecutorial and investigative powers exclusively vested in Attorney-General and Commissioner of</w:t>
      </w:r>
      <w:r w:rsidR="0012369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Police – Nature of offence of abuse of office under Penal Code – Section 14(1) – Police Act (Chapter 84)</w:t>
      </w:r>
      <w:r w:rsidR="0012369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– Section 26 – Constitution of Kenya.</w:t>
      </w:r>
      <w:r w:rsidR="0012369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[3] Statute – Interpretation –Marginal note erroneous – Principle </w:t>
      </w:r>
      <w:r>
        <w:rPr>
          <w:rFonts w:ascii="Times New Roman" w:hAnsi="Times New Roman" w:cs="Times New Roman"/>
          <w:color w:val="000000"/>
        </w:rPr>
        <w:t xml:space="preserve">de </w:t>
      </w:r>
      <w:proofErr w:type="spellStart"/>
      <w:r>
        <w:rPr>
          <w:rFonts w:ascii="Times New Roman" w:hAnsi="Times New Roman" w:cs="Times New Roman"/>
          <w:color w:val="000000"/>
        </w:rPr>
        <w:t>minimis</w:t>
      </w:r>
      <w:proofErr w:type="spellEnd"/>
      <w:r>
        <w:rPr>
          <w:rFonts w:ascii="Times New Roman" w:hAnsi="Times New Roman" w:cs="Times New Roman"/>
          <w:color w:val="000000"/>
        </w:rPr>
        <w:t xml:space="preserve"> non </w:t>
      </w:r>
      <w:proofErr w:type="spellStart"/>
      <w:r>
        <w:rPr>
          <w:rFonts w:ascii="Times New Roman" w:hAnsi="Times New Roman" w:cs="Times New Roman"/>
          <w:color w:val="000000"/>
        </w:rPr>
        <w:t>curat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lex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– Whether</w:t>
      </w:r>
      <w:r w:rsidR="0012369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“special magistrates” created under anti-corruption statute unconstitutional – Section 3 –</w:t>
      </w:r>
      <w:r w:rsidR="0012369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Anti-Corruption and Economic Crimes Act (number 3 of 2003).</w:t>
      </w:r>
      <w:r w:rsidR="0012369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[4] Statute – Repeal and amendment – Whether previous statutory provision may be repealed by</w:t>
      </w:r>
      <w:r w:rsidR="0012369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implication – Fresh offence of “abuse of office” created in new anti-corruption statute – Whether</w:t>
      </w:r>
      <w:r w:rsidR="0012369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previous offence of “abuse of office” contained in Penal Code repealed.</w:t>
      </w:r>
      <w:r w:rsidR="00123693">
        <w:rPr>
          <w:rFonts w:ascii="Times New Roman" w:hAnsi="Times New Roman" w:cs="Times New Roman"/>
          <w:i/>
          <w:iCs/>
          <w:color w:val="000000"/>
        </w:rPr>
        <w:t xml:space="preserve"> </w:t>
      </w:r>
    </w:p>
    <w:p w:rsidR="00123693" w:rsidRDefault="00123693" w:rsidP="00146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</w:p>
    <w:p w:rsidR="00123693" w:rsidRDefault="00146003" w:rsidP="001236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Editor’s </w:t>
      </w:r>
      <w:r w:rsidR="00123693">
        <w:rPr>
          <w:rFonts w:ascii="Times New Roman" w:hAnsi="Times New Roman" w:cs="Times New Roman"/>
          <w:b/>
          <w:bCs/>
          <w:color w:val="000000"/>
        </w:rPr>
        <w:t xml:space="preserve">Summary </w:t>
      </w:r>
      <w:proofErr w:type="gramStart"/>
      <w:r w:rsidR="00123693">
        <w:rPr>
          <w:rFonts w:ascii="Times New Roman" w:hAnsi="Times New Roman" w:cs="Times New Roman"/>
          <w:b/>
          <w:bCs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Applicant was an accused person in an anti-corruption case. He applied to the Constitutional Court</w:t>
      </w:r>
      <w:r w:rsidR="001236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originating summons for a declaration that the prosecution of the said case had infringed his</w:t>
      </w:r>
      <w:r w:rsidR="001236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fundamental rights to due process. The Applicant claimed that the Anti-Corruption and Economic Crimes</w:t>
      </w:r>
      <w:r w:rsidR="001236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 (number 3 of 2003) under which the Applicant had been charged was unconstitutional for being</w:t>
      </w:r>
      <w:r w:rsidR="001236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retrospective in application, and that the establishment, staffing and jurisdiction of the Anti-Corruption</w:t>
      </w:r>
      <w:r w:rsidR="001236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was irregular and unconstitutional.</w:t>
      </w:r>
      <w:r w:rsidR="001236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 had been charged with abuse of office contrary to the Penal Code. He was charged in</w:t>
      </w:r>
      <w:r w:rsidR="001236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“Anti-Corruption Court” that had been administratively set up by a previous Chief Justice. One month</w:t>
      </w:r>
      <w:r w:rsidR="001236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subsequently, the Anti-Corruption and Economic Crimes Act came into effect. This Act defined</w:t>
      </w:r>
      <w:r w:rsidR="001236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“corruption”, hence the Applicant argued that previous offences could not be termed corruption or</w:t>
      </w:r>
      <w:r w:rsidR="001236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prosecuted in the Anti-Corruption Court. Further, the Applicant argued that the Anti-Corruption</w:t>
      </w:r>
      <w:r w:rsidR="001236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 and Court usurped the prosecutorial role and jurisdiction respectively of the constitutionally</w:t>
      </w:r>
      <w:r w:rsidR="001236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mandated Police Commissioner and courts, and were therefore invalid.</w:t>
      </w:r>
      <w:r w:rsidR="001236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Anti-Corruption Commission applied to be joined as a party to the proceedings. Subsequently,</w:t>
      </w:r>
      <w:r w:rsidR="001236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Respondents replied that the Anti-Corruption Court was merely an administrative entity, and that the</w:t>
      </w:r>
      <w:r w:rsidR="001236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Anti-Corruption Commission was not conducting prosecutorial functions. Nonetheless, it was argued that</w:t>
      </w:r>
      <w:r w:rsidR="001236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Constitution did not restrict the exercise of prosecutorial functions by subordinate statutory bodies</w:t>
      </w:r>
      <w:r w:rsidR="001236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the supervision of the Attorney-General.</w:t>
      </w:r>
      <w:r w:rsidR="00123693">
        <w:rPr>
          <w:rFonts w:ascii="Times New Roman" w:hAnsi="Times New Roman" w:cs="Times New Roman"/>
          <w:color w:val="000000"/>
        </w:rPr>
        <w:t xml:space="preserve"> </w:t>
      </w:r>
    </w:p>
    <w:p w:rsidR="00123693" w:rsidRDefault="00123693" w:rsidP="00146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146003" w:rsidRDefault="00146003" w:rsidP="001236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Per </w:t>
      </w:r>
      <w:proofErr w:type="spellStart"/>
      <w:r>
        <w:rPr>
          <w:rFonts w:ascii="Times New Roman" w:hAnsi="Times New Roman" w:cs="Times New Roman"/>
          <w:color w:val="000000"/>
        </w:rPr>
        <w:t>Rawal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Njagi</w:t>
      </w:r>
      <w:proofErr w:type="spellEnd"/>
      <w:r>
        <w:rPr>
          <w:rFonts w:ascii="Times New Roman" w:hAnsi="Times New Roman" w:cs="Times New Roman"/>
          <w:color w:val="000000"/>
        </w:rPr>
        <w:t xml:space="preserve"> JJ and </w:t>
      </w:r>
      <w:proofErr w:type="spellStart"/>
      <w:r>
        <w:rPr>
          <w:rFonts w:ascii="Times New Roman" w:hAnsi="Times New Roman" w:cs="Times New Roman"/>
          <w:color w:val="000000"/>
        </w:rPr>
        <w:t>Ojwang</w:t>
      </w:r>
      <w:proofErr w:type="spellEnd"/>
      <w:r>
        <w:rPr>
          <w:rFonts w:ascii="Times New Roman" w:hAnsi="Times New Roman" w:cs="Times New Roman"/>
          <w:color w:val="000000"/>
        </w:rPr>
        <w:t>’ AJ) – The Court would allow joinder as an interested party</w:t>
      </w:r>
      <w:r w:rsidR="001236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Kenya Anti-Corruption Commission whose legality was in issue in this case. A Constitutional</w:t>
      </w:r>
      <w:r w:rsidR="001236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has the power to allow joinder as interested parties of all relevant stakeholders, particularly where</w:t>
      </w:r>
      <w:r w:rsidR="001236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public interest issue is concerned. The joinder of the Commission also would satisfy the imperative of</w:t>
      </w:r>
      <w:r w:rsidR="001236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natural justice (</w:t>
      </w:r>
      <w:r>
        <w:rPr>
          <w:rFonts w:ascii="Times New Roman" w:hAnsi="Times New Roman" w:cs="Times New Roman"/>
          <w:i/>
          <w:iCs/>
          <w:color w:val="000000"/>
        </w:rPr>
        <w:t xml:space="preserve">Her Majesty the Queen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Imre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Finta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[1993] 1 SCR 1138 adopted, </w:t>
      </w:r>
      <w:r>
        <w:rPr>
          <w:rFonts w:ascii="Times New Roman" w:hAnsi="Times New Roman" w:cs="Times New Roman"/>
          <w:i/>
          <w:iCs/>
          <w:color w:val="000000"/>
        </w:rPr>
        <w:t>Departed Asians</w:t>
      </w:r>
      <w:r w:rsidR="0012369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Property Custodian Board v Jaffer Brothers Ltd </w:t>
      </w:r>
      <w:r>
        <w:rPr>
          <w:rFonts w:ascii="Times New Roman" w:hAnsi="Times New Roman" w:cs="Times New Roman"/>
          <w:color w:val="000000"/>
        </w:rPr>
        <w:t>[1999] 1 EA 55 followed).</w:t>
      </w:r>
      <w:r w:rsidR="001236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While powers of prosecution and investigation are constitutionally vested in the Attorney-General and</w:t>
      </w:r>
      <w:r w:rsidR="001236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Commissioner of Police, they may also be exercised by a subordinate body. The failure of Parliament</w:t>
      </w:r>
      <w:r w:rsidR="001236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enact a sister constitutional amendment proposal when passing the anti-corruption statute did not mean</w:t>
      </w:r>
      <w:r w:rsidR="001236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statute offended the Constitution. However, the criminal proceedings in this case fell within the</w:t>
      </w:r>
      <w:r w:rsidR="001236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framework of the Penal Code, the constitutionality of which had not been impugned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Gachiengo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</w:t>
      </w:r>
      <w:r w:rsidR="0012369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Republic </w:t>
      </w:r>
      <w:r>
        <w:rPr>
          <w:rFonts w:ascii="Times New Roman" w:hAnsi="Times New Roman" w:cs="Times New Roman"/>
          <w:color w:val="000000"/>
        </w:rPr>
        <w:t>[2000] 1 EA 67 doubted).</w:t>
      </w:r>
      <w:r w:rsidR="001236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The jurisdiction and personnel of the Anti-Corruption Court were exercising ordinary jurisdiction</w:t>
      </w:r>
      <w:r w:rsidR="001236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conferred on them by valid statutes. The “special magistrates” appointed under the anti-corruption statute</w:t>
      </w:r>
      <w:r w:rsidR="001236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normal judicial officers</w:t>
      </w:r>
      <w:r w:rsidR="001236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appointed under the authority of Parliament. The Anti-Corruption Courts were simply courts of</w:t>
      </w:r>
      <w:r w:rsidR="001236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convenience established administratively and they would not shift the traditional burden of proof from</w:t>
      </w:r>
      <w:r w:rsidR="001236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prosecution (</w:t>
      </w:r>
      <w:r>
        <w:rPr>
          <w:rFonts w:ascii="Times New Roman" w:hAnsi="Times New Roman" w:cs="Times New Roman"/>
          <w:i/>
          <w:iCs/>
          <w:color w:val="000000"/>
        </w:rPr>
        <w:t xml:space="preserve">Hinds and others v The Queen </w:t>
      </w:r>
      <w:r>
        <w:rPr>
          <w:rFonts w:ascii="Times New Roman" w:hAnsi="Times New Roman" w:cs="Times New Roman"/>
          <w:color w:val="000000"/>
        </w:rPr>
        <w:t xml:space="preserve">[1976] 1 All ER 353 and </w:t>
      </w:r>
      <w:r>
        <w:rPr>
          <w:rFonts w:ascii="Times New Roman" w:hAnsi="Times New Roman" w:cs="Times New Roman"/>
          <w:i/>
          <w:iCs/>
          <w:color w:val="000000"/>
        </w:rPr>
        <w:t xml:space="preserve">R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Carr-Briant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[1943] 2 All</w:t>
      </w:r>
      <w:r w:rsidR="001236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ER 156 adopted).</w:t>
      </w:r>
      <w:r w:rsidR="001236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While marginal notes should be considered in interpreting Kenyan statutes, where there was a clear</w:t>
      </w:r>
      <w:r w:rsidR="001236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error in the marginal note, the principle </w:t>
      </w:r>
      <w:r>
        <w:rPr>
          <w:rFonts w:ascii="Times New Roman" w:hAnsi="Times New Roman" w:cs="Times New Roman"/>
          <w:i/>
          <w:iCs/>
          <w:color w:val="000000"/>
        </w:rPr>
        <w:t xml:space="preserve">de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minimis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non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curat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lex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be applied to cure the error (</w:t>
      </w:r>
      <w:r>
        <w:rPr>
          <w:rFonts w:ascii="Times New Roman" w:hAnsi="Times New Roman" w:cs="Times New Roman"/>
          <w:i/>
          <w:iCs/>
          <w:color w:val="000000"/>
        </w:rPr>
        <w:t>In</w:t>
      </w:r>
      <w:r w:rsidR="0012369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the Estate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Visram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Kurji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Karsan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Shankerprasad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Maganial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Bhatt and others </w:t>
      </w:r>
      <w:r>
        <w:rPr>
          <w:rFonts w:ascii="Times New Roman" w:hAnsi="Times New Roman" w:cs="Times New Roman"/>
          <w:color w:val="000000"/>
        </w:rPr>
        <w:t>[1965] EA 789</w:t>
      </w:r>
      <w:r w:rsidR="001236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distinguished).</w:t>
      </w:r>
      <w:r w:rsidR="001236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courts will only with reluctance infer an intention to repeal a previous statutory provision from</w:t>
      </w:r>
      <w:r w:rsidR="001236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nature of a subsequent statutory enactment. The prior provision will be repealed by implication if, but</w:t>
      </w:r>
      <w:r w:rsidR="001236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only if, it is so inconsistent with or repugnant to the subsequent provision that the two are incapable of</w:t>
      </w:r>
      <w:r w:rsidR="001236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standing together (</w:t>
      </w:r>
      <w:r>
        <w:rPr>
          <w:rFonts w:ascii="Times New Roman" w:hAnsi="Times New Roman" w:cs="Times New Roman"/>
          <w:i/>
          <w:iCs/>
          <w:color w:val="000000"/>
        </w:rPr>
        <w:t xml:space="preserve">Ismail v Republic </w:t>
      </w:r>
      <w:r>
        <w:rPr>
          <w:rFonts w:ascii="Times New Roman" w:hAnsi="Times New Roman" w:cs="Times New Roman"/>
          <w:color w:val="000000"/>
        </w:rPr>
        <w:t>[1963] EA 55 followed).</w:t>
      </w:r>
      <w:r w:rsidR="001236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curiam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: </w:t>
      </w:r>
      <w:r>
        <w:rPr>
          <w:rFonts w:ascii="Times New Roman" w:hAnsi="Times New Roman" w:cs="Times New Roman"/>
          <w:color w:val="000000"/>
        </w:rPr>
        <w:t>A person seeking redress from the High Court on a matter which involves a reference to</w:t>
      </w:r>
      <w:r w:rsidR="001236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Constitution should set out with a reasonable degree of precision that of which he complains, the</w:t>
      </w:r>
      <w:r w:rsidR="001236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provisions said to be infringed and the manner in which they are alleged to be infringed (</w:t>
      </w:r>
      <w:r>
        <w:rPr>
          <w:rFonts w:ascii="Times New Roman" w:hAnsi="Times New Roman" w:cs="Times New Roman"/>
          <w:i/>
          <w:iCs/>
          <w:color w:val="000000"/>
        </w:rPr>
        <w:t>Njeru v</w:t>
      </w:r>
      <w:r w:rsidR="0012369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Republic </w:t>
      </w:r>
      <w:r>
        <w:rPr>
          <w:rFonts w:ascii="Times New Roman" w:hAnsi="Times New Roman" w:cs="Times New Roman"/>
          <w:color w:val="000000"/>
        </w:rPr>
        <w:t>[1979] KLR 154 followed).</w:t>
      </w:r>
      <w:r w:rsidR="001236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Judicial notice would be taken of the fact that there is a general practice in the Commonwealth to have</w:t>
      </w:r>
      <w:r w:rsidR="001236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place an anti-corruption statute and a set of institutional arrangements for combating corruption. The</w:t>
      </w:r>
      <w:r w:rsidR="001236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should be slow to unsettle those public policy choices that have been incorporated in legislation</w:t>
      </w:r>
      <w:r w:rsidR="001236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enacted by Parliament by virtue of its constitutional competencies.</w:t>
      </w:r>
    </w:p>
    <w:p w:rsidR="00146003" w:rsidRDefault="00146003" w:rsidP="00146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Application denied.</w:t>
      </w:r>
    </w:p>
    <w:p w:rsidR="00146003" w:rsidRDefault="00146003" w:rsidP="00146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146003" w:rsidRDefault="00146003" w:rsidP="00146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146003" w:rsidRDefault="00146003" w:rsidP="00146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146003" w:rsidRDefault="00146003" w:rsidP="00146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146003" w:rsidRDefault="00146003" w:rsidP="00146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146003" w:rsidRDefault="00146003" w:rsidP="00146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Departed Asians Property Custodian Board v Jaffer Brothers Ltd </w:t>
      </w:r>
      <w:r>
        <w:rPr>
          <w:rFonts w:ascii="Times New Roman" w:hAnsi="Times New Roman" w:cs="Times New Roman"/>
          <w:color w:val="000000"/>
        </w:rPr>
        <w:t xml:space="preserve">[1999] 1 EA 55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146003" w:rsidRDefault="00146003" w:rsidP="00146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Gachiengo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 xml:space="preserve">[2000] 1 EA 67 – </w:t>
      </w:r>
      <w:r>
        <w:rPr>
          <w:rFonts w:ascii="Times New Roman" w:hAnsi="Times New Roman" w:cs="Times New Roman"/>
          <w:b/>
          <w:bCs/>
          <w:color w:val="000000"/>
        </w:rPr>
        <w:t>DT</w:t>
      </w:r>
    </w:p>
    <w:p w:rsidR="00146003" w:rsidRDefault="00146003" w:rsidP="00146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In the Estate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Visram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Kurji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Karsan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Shankerprasad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Maganial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Bhatt and others </w:t>
      </w:r>
      <w:r>
        <w:rPr>
          <w:rFonts w:ascii="Times New Roman" w:hAnsi="Times New Roman" w:cs="Times New Roman"/>
          <w:color w:val="000000"/>
        </w:rPr>
        <w:t>[1965] EA 789 –</w:t>
      </w:r>
    </w:p>
    <w:p w:rsidR="00146003" w:rsidRDefault="00146003" w:rsidP="00146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D</w:t>
      </w:r>
    </w:p>
    <w:p w:rsidR="00146003" w:rsidRDefault="00146003" w:rsidP="00146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Ismail v Republic </w:t>
      </w:r>
      <w:r>
        <w:rPr>
          <w:rFonts w:ascii="Times New Roman" w:hAnsi="Times New Roman" w:cs="Times New Roman"/>
          <w:color w:val="000000"/>
        </w:rPr>
        <w:t xml:space="preserve">[1963] EA 55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146003" w:rsidRDefault="00146003" w:rsidP="00146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Matiba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Attorney-General </w:t>
      </w:r>
      <w:r>
        <w:rPr>
          <w:rFonts w:ascii="Times New Roman" w:hAnsi="Times New Roman" w:cs="Times New Roman"/>
          <w:color w:val="000000"/>
        </w:rPr>
        <w:t>miscellaneous application number 666 of 1990</w:t>
      </w:r>
    </w:p>
    <w:p w:rsidR="00146003" w:rsidRDefault="00146003" w:rsidP="00146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Njeru v Republic </w:t>
      </w:r>
      <w:r>
        <w:rPr>
          <w:rFonts w:ascii="Times New Roman" w:hAnsi="Times New Roman" w:cs="Times New Roman"/>
          <w:color w:val="000000"/>
        </w:rPr>
        <w:t xml:space="preserve">[1979] KLR 154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146003" w:rsidRDefault="00146003" w:rsidP="00146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Njoya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 Attorney-General and others </w:t>
      </w:r>
      <w:r>
        <w:rPr>
          <w:rFonts w:ascii="Times New Roman" w:hAnsi="Times New Roman" w:cs="Times New Roman"/>
          <w:color w:val="000000"/>
        </w:rPr>
        <w:t>[2004] LLR 4788 (HCK)</w:t>
      </w:r>
    </w:p>
    <w:p w:rsidR="00146003" w:rsidRDefault="00146003" w:rsidP="00146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Oweggi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criminal application number 5 of 1993</w:t>
      </w:r>
    </w:p>
    <w:p w:rsidR="00146003" w:rsidRDefault="00146003" w:rsidP="00146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Ruturi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Minister of Finance and another </w:t>
      </w:r>
      <w:r>
        <w:rPr>
          <w:rFonts w:ascii="Times New Roman" w:hAnsi="Times New Roman" w:cs="Times New Roman"/>
          <w:color w:val="000000"/>
        </w:rPr>
        <w:t>[2001] 1 EA 253</w:t>
      </w:r>
    </w:p>
    <w:p w:rsidR="00146003" w:rsidRDefault="00146003" w:rsidP="00146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146003" w:rsidRDefault="00146003" w:rsidP="00146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Her Majesty the Queen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Imre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Finta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[1993] ISCR 1138 – </w:t>
      </w:r>
      <w:r>
        <w:rPr>
          <w:rFonts w:ascii="Times New Roman" w:hAnsi="Times New Roman" w:cs="Times New Roman"/>
          <w:b/>
          <w:bCs/>
          <w:color w:val="000000"/>
        </w:rPr>
        <w:t>A</w:t>
      </w:r>
    </w:p>
    <w:p w:rsidR="00146003" w:rsidRDefault="00146003" w:rsidP="00146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Hinds and others v the Queen </w:t>
      </w:r>
      <w:r>
        <w:rPr>
          <w:rFonts w:ascii="Times New Roman" w:hAnsi="Times New Roman" w:cs="Times New Roman"/>
          <w:color w:val="000000"/>
        </w:rPr>
        <w:t xml:space="preserve">[1976] 1 All ER 353 – </w:t>
      </w:r>
      <w:r>
        <w:rPr>
          <w:rFonts w:ascii="Times New Roman" w:hAnsi="Times New Roman" w:cs="Times New Roman"/>
          <w:b/>
          <w:bCs/>
          <w:color w:val="000000"/>
        </w:rPr>
        <w:t>A</w:t>
      </w:r>
    </w:p>
    <w:p w:rsidR="00146003" w:rsidRDefault="00146003" w:rsidP="00146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Republic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Carr-Briant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[1943] 2 All ER 156 – </w:t>
      </w:r>
      <w:r>
        <w:rPr>
          <w:rFonts w:ascii="Times New Roman" w:hAnsi="Times New Roman" w:cs="Times New Roman"/>
          <w:b/>
          <w:bCs/>
          <w:color w:val="000000"/>
        </w:rPr>
        <w:t>A</w:t>
      </w:r>
    </w:p>
    <w:p w:rsidR="00575C55" w:rsidRDefault="00575C55" w:rsidP="00146003"/>
    <w:sectPr w:rsidR="00575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003"/>
    <w:rsid w:val="00123693"/>
    <w:rsid w:val="00146003"/>
    <w:rsid w:val="00575C55"/>
    <w:rsid w:val="00B6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A81E4-6DFD-47AB-9BE3-327A52179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5</cp:revision>
  <dcterms:created xsi:type="dcterms:W3CDTF">2018-07-04T17:44:00Z</dcterms:created>
  <dcterms:modified xsi:type="dcterms:W3CDTF">2018-07-13T13:13:00Z</dcterms:modified>
</cp:coreProperties>
</file>