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Midwa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Midwa</w:t>
      </w:r>
      <w:proofErr w:type="spellEnd"/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31 July 2000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197/2000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Children – Custody – Custody of children given to husband – Principles to be applied in custody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disputes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where children are of tender age – Whether mother should be deprived of custody of the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children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– Application for stay of execution – Divorce petition – Grounds of cruelty – Wife tested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positive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HIV – Court order given removing wife from matrimonial home – Whether wife should be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back in matrimonial home.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D49FF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January 2000 the Respondent filed a petition before the High Court seeking a divorce from his wife of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 years on the grounds of cruelty. In particular, he alleged that the Applicant, having tested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HIV-positive around December 1996, was endangering his life and that he could not live under the same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roof with her. On 6 June 2000, the High Court ordered that the Applicant be expelled from the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matrimonial home and consigned to the servants’ quarter and that the Respondent be awarded custody of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parties’ two children pending the hearing of the cause. The Applicant applied to the Court of Appeal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stay of the High Court’s orders pending the hearing and determination of her appeal against them. She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part of her salary went towards the payment of the mortgage on the house and it was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totally unjustified for her to be confined to the servants’ quarter. She also averred that no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exceptional circumstances existed to justify giving custody of the children to the father.</w:t>
      </w:r>
      <w:r w:rsidR="00CD49FF">
        <w:rPr>
          <w:rFonts w:ascii="Times New Roman" w:hAnsi="Times New Roman" w:cs="Times New Roman"/>
          <w:color w:val="000000"/>
        </w:rPr>
        <w:t xml:space="preserve"> </w:t>
      </w:r>
    </w:p>
    <w:p w:rsidR="00CD49FF" w:rsidRDefault="00CD49FF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order compelling the Applicant to live in the servants’ quarter of her own house, whose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mortgage her salary was servicing, was </w:t>
      </w:r>
      <w:r w:rsidR="00CD49FF">
        <w:rPr>
          <w:rFonts w:ascii="Times New Roman" w:hAnsi="Times New Roman" w:cs="Times New Roman"/>
          <w:color w:val="000000"/>
        </w:rPr>
        <w:t>traumatizing</w:t>
      </w:r>
      <w:r>
        <w:rPr>
          <w:rFonts w:ascii="Times New Roman" w:hAnsi="Times New Roman" w:cs="Times New Roman"/>
          <w:color w:val="000000"/>
        </w:rPr>
        <w:t xml:space="preserve">, </w:t>
      </w:r>
      <w:r w:rsidR="00CD49FF">
        <w:rPr>
          <w:rFonts w:ascii="Times New Roman" w:hAnsi="Times New Roman" w:cs="Times New Roman"/>
          <w:color w:val="000000"/>
        </w:rPr>
        <w:t>dehumanizing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and likely to adversely affect her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health. All things being equal, children of tender age ought to be with their mother and, in giving custody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such children to the father, it was incumbent on the court to ensure there were sufficient grounds for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doing so; </w:t>
      </w:r>
      <w:r>
        <w:rPr>
          <w:rFonts w:ascii="Times New Roman" w:hAnsi="Times New Roman" w:cs="Times New Roman"/>
          <w:i/>
          <w:iCs/>
          <w:color w:val="000000"/>
        </w:rPr>
        <w:t xml:space="preserve">Re S (an infant) </w:t>
      </w:r>
      <w:r>
        <w:rPr>
          <w:rFonts w:ascii="Times New Roman" w:hAnsi="Times New Roman" w:cs="Times New Roman"/>
          <w:color w:val="000000"/>
        </w:rPr>
        <w:t xml:space="preserve">[1958] 1 All ER 783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18 applied. The High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judge had erred in applying this principle as no exceptional circumstances had been shown to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justify depriving the mother of custody. The intended appeal was thus arguable, the application would be</w:t>
      </w:r>
      <w:r w:rsidR="00CD49F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and the Applicant restored to the matrimonial home.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means</w:t>
      </w:r>
      <w:proofErr w:type="gramEnd"/>
      <w:r>
        <w:rPr>
          <w:rFonts w:ascii="Times New Roman" w:hAnsi="Times New Roman" w:cs="Times New Roman"/>
          <w:color w:val="000000"/>
        </w:rPr>
        <w:t xml:space="preserve">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 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overruled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Karanu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Karanu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18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7B3D2C" w:rsidRDefault="007B3D2C" w:rsidP="007B3D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3F18BF" w:rsidRDefault="007B3D2C" w:rsidP="007B3D2C">
      <w:r>
        <w:rPr>
          <w:rFonts w:ascii="Times New Roman" w:hAnsi="Times New Roman" w:cs="Times New Roman"/>
          <w:i/>
          <w:iCs/>
          <w:color w:val="000000"/>
        </w:rPr>
        <w:t xml:space="preserve">Re S (an infant) </w:t>
      </w:r>
      <w:r>
        <w:rPr>
          <w:rFonts w:ascii="Times New Roman" w:hAnsi="Times New Roman" w:cs="Times New Roman"/>
          <w:color w:val="000000"/>
        </w:rPr>
        <w:t xml:space="preserve">[1958] 1 All ER 783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2C"/>
    <w:rsid w:val="003F18BF"/>
    <w:rsid w:val="007B3D2C"/>
    <w:rsid w:val="00C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40AE-9830-4986-924B-8137ACD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2018-07-05T10:41:00Z</dcterms:created>
  <dcterms:modified xsi:type="dcterms:W3CDTF">2018-07-13T08:53:00Z</dcterms:modified>
</cp:coreProperties>
</file>