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Mmboroki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The Chief Conservator of Forests and Minister for Environment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Natural Resources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March 2006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27/06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law – Challenge to indefeasibility of title – Public resource – Alienation of natural resources –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Public interest over registered land – When to issue conservatory orders.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sought a conservatory order to prohibit the first and the second respondents to refrain from</w:t>
      </w:r>
    </w:p>
    <w:p w:rsidR="003F35FE" w:rsidRDefault="003F35FE" w:rsidP="003F3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Re-establishing</w:t>
      </w:r>
      <w:r w:rsidR="006B4461">
        <w:rPr>
          <w:rFonts w:ascii="Times New Roman" w:hAnsi="Times New Roman" w:cs="Times New Roman"/>
          <w:color w:val="000000"/>
        </w:rPr>
        <w:t xml:space="preserve"> the intended boundary of Lower </w:t>
      </w:r>
      <w:proofErr w:type="spellStart"/>
      <w:r w:rsidR="006B4461">
        <w:rPr>
          <w:rFonts w:ascii="Times New Roman" w:hAnsi="Times New Roman" w:cs="Times New Roman"/>
          <w:color w:val="000000"/>
        </w:rPr>
        <w:t>Imenti</w:t>
      </w:r>
      <w:proofErr w:type="spellEnd"/>
      <w:r w:rsidR="006B4461">
        <w:rPr>
          <w:rFonts w:ascii="Times New Roman" w:hAnsi="Times New Roman" w:cs="Times New Roman"/>
          <w:color w:val="000000"/>
        </w:rPr>
        <w:t xml:space="preserve"> Forest or dealing in any manner whatsoever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6B4461">
        <w:rPr>
          <w:rFonts w:ascii="Times New Roman" w:hAnsi="Times New Roman" w:cs="Times New Roman"/>
          <w:color w:val="000000"/>
        </w:rPr>
        <w:t>would affect the applicant’s proprietary rights. The reasons were that the respondent was trying to</w:t>
      </w:r>
      <w:r>
        <w:rPr>
          <w:rFonts w:ascii="Times New Roman" w:hAnsi="Times New Roman" w:cs="Times New Roman"/>
          <w:color w:val="000000"/>
        </w:rPr>
        <w:t xml:space="preserve"> </w:t>
      </w:r>
      <w:r w:rsidR="006B4461">
        <w:rPr>
          <w:rFonts w:ascii="Times New Roman" w:hAnsi="Times New Roman" w:cs="Times New Roman"/>
          <w:color w:val="000000"/>
        </w:rPr>
        <w:t xml:space="preserve">re-establish the boundary of Lower </w:t>
      </w:r>
      <w:proofErr w:type="spellStart"/>
      <w:r w:rsidR="006B4461">
        <w:rPr>
          <w:rFonts w:ascii="Times New Roman" w:hAnsi="Times New Roman" w:cs="Times New Roman"/>
          <w:color w:val="000000"/>
        </w:rPr>
        <w:t>Imenti</w:t>
      </w:r>
      <w:proofErr w:type="spellEnd"/>
      <w:r w:rsidR="006B4461">
        <w:rPr>
          <w:rFonts w:ascii="Times New Roman" w:hAnsi="Times New Roman" w:cs="Times New Roman"/>
          <w:color w:val="000000"/>
        </w:rPr>
        <w:t xml:space="preserve"> Forest and the intended re-establishment would excise 0.32</w:t>
      </w:r>
      <w:r>
        <w:rPr>
          <w:rFonts w:ascii="Times New Roman" w:hAnsi="Times New Roman" w:cs="Times New Roman"/>
          <w:color w:val="000000"/>
        </w:rPr>
        <w:t xml:space="preserve"> </w:t>
      </w:r>
      <w:r w:rsidR="006B4461">
        <w:rPr>
          <w:rFonts w:ascii="Times New Roman" w:hAnsi="Times New Roman" w:cs="Times New Roman"/>
          <w:color w:val="000000"/>
        </w:rPr>
        <w:t>hectare of the applicant’s land. The respondents however contended that it is the applicant who had</w:t>
      </w:r>
      <w:r>
        <w:rPr>
          <w:rFonts w:ascii="Times New Roman" w:hAnsi="Times New Roman" w:cs="Times New Roman"/>
          <w:color w:val="000000"/>
        </w:rPr>
        <w:t xml:space="preserve"> </w:t>
      </w:r>
      <w:r w:rsidR="006B4461">
        <w:rPr>
          <w:rFonts w:ascii="Times New Roman" w:hAnsi="Times New Roman" w:cs="Times New Roman"/>
          <w:color w:val="000000"/>
        </w:rPr>
        <w:t>encroached on the forest.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F35FE" w:rsidRDefault="003F35FE" w:rsidP="003F3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B4461" w:rsidRDefault="006B4461" w:rsidP="003F3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mere fact that section 28 of the RLA, Chapter 300 gives a proprietor an indefeasible title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does not on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basis give him a title that is beyond any challenge including a constitutional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challenge. That land which is part of a public resource has been acquired can form a ground of challenge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first registration.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government cannot alienate natural resources without invoking the constitutional procedure and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such alienation as permitted can only be for a public benefit. The government holds public resources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forests for the people generally and therefore, there is a public trust in respect of all such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resources.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public trust defeats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an indefeasible title because it is in the public interest that such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resources including forest land are held in trust. This assumes even greater importance in a matter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involving an issue of environmental law. (</w:t>
      </w:r>
      <w:r>
        <w:rPr>
          <w:rFonts w:ascii="Times New Roman" w:hAnsi="Times New Roman" w:cs="Times New Roman"/>
          <w:i/>
          <w:iCs/>
          <w:color w:val="000000"/>
        </w:rPr>
        <w:t>Kenya Guards and Allied Workers Union v Security Guards</w:t>
      </w:r>
      <w:r w:rsidR="003F35F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Services and others </w:t>
      </w:r>
      <w:r>
        <w:rPr>
          <w:rFonts w:ascii="Times New Roman" w:hAnsi="Times New Roman" w:cs="Times New Roman"/>
          <w:color w:val="000000"/>
        </w:rPr>
        <w:t>miscellaneous application number 1159 of 2003 (UR) applied).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Issuing a conservatory order in the nature of an injunction would not have been proper in this case,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especially taking into account the wider interests of the other members of the community. There would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greater harm in halting the community project. Moreover it was the community which was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fencing and they were not party to these proceedings. If it was found that the respondents had</w:t>
      </w:r>
      <w:r w:rsidR="003F35F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encroached, the applicant could be compensated by damages.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ruling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B4461" w:rsidRDefault="006B4461" w:rsidP="006B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B7022" w:rsidRDefault="006B4461" w:rsidP="006B4461">
      <w:r>
        <w:rPr>
          <w:rFonts w:ascii="Times New Roman" w:hAnsi="Times New Roman" w:cs="Times New Roman"/>
          <w:i/>
          <w:iCs/>
          <w:color w:val="000000"/>
        </w:rPr>
        <w:t>Kenya Guards and Allied Workers Union v Security Guar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61"/>
    <w:rsid w:val="003F35FE"/>
    <w:rsid w:val="006B4461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E8789-0DE9-41D3-86E5-F2CF9823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2018-07-05T06:40:00Z</dcterms:created>
  <dcterms:modified xsi:type="dcterms:W3CDTF">2018-07-13T08:54:00Z</dcterms:modified>
</cp:coreProperties>
</file>