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Mmboroki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The Chief Conservator of Forests and Minister for Environment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Natural Resources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March 2006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27/06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law – Challenge to indefeasibility of title – Public resource – Alienation of natural resources –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Public interest over registered land – When to issue conservatory orders.</w:t>
      </w:r>
    </w:p>
    <w:p w:rsidR="006222B9" w:rsidRDefault="00DD45AA" w:rsidP="00DD45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6222B9" w:rsidRDefault="006222B9" w:rsidP="00DD45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An originating summons under section 75 and 84 of the Constitution was filed on 19 January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2006 together with a Chamber Summons of the same date.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Chamber Summons prays that the court issues a conservatory order prohibiting the first and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respondents personally or through their agents, officers or servants to refrain from re-establishing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intended boundary of Lower </w:t>
      </w:r>
      <w:proofErr w:type="spellStart"/>
      <w:r>
        <w:rPr>
          <w:rFonts w:ascii="Times New Roman" w:hAnsi="Times New Roman" w:cs="Times New Roman"/>
          <w:color w:val="000000"/>
        </w:rPr>
        <w:t>Imenti</w:t>
      </w:r>
      <w:proofErr w:type="spellEnd"/>
      <w:r>
        <w:rPr>
          <w:rFonts w:ascii="Times New Roman" w:hAnsi="Times New Roman" w:cs="Times New Roman"/>
          <w:color w:val="000000"/>
        </w:rPr>
        <w:t xml:space="preserve"> Forest or dealing in any manner whatsoever that would affect the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proprietary rights in whole or in part until final determination of the Originating Summons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by the applicant.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reasons are that the applicant is the registered and lawful owner of all that parcel of land known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</w:t>
      </w:r>
      <w:proofErr w:type="spellStart"/>
      <w:r>
        <w:rPr>
          <w:rFonts w:ascii="Times New Roman" w:hAnsi="Times New Roman" w:cs="Times New Roman"/>
          <w:color w:val="000000"/>
        </w:rPr>
        <w:t>Nyaki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Giaki</w:t>
      </w:r>
      <w:proofErr w:type="spellEnd"/>
      <w:r>
        <w:rPr>
          <w:rFonts w:ascii="Times New Roman" w:hAnsi="Times New Roman" w:cs="Times New Roman"/>
          <w:color w:val="000000"/>
        </w:rPr>
        <w:t xml:space="preserve">/2615 and that the respondent is trying to re-establish the boundary of Lower </w:t>
      </w:r>
      <w:proofErr w:type="spellStart"/>
      <w:r>
        <w:rPr>
          <w:rFonts w:ascii="Times New Roman" w:hAnsi="Times New Roman" w:cs="Times New Roman"/>
          <w:color w:val="000000"/>
        </w:rPr>
        <w:t>Imenti</w:t>
      </w:r>
      <w:proofErr w:type="spellEnd"/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Forest, and the intended re-establishment would excise 0.32 hectare of applicant’s land.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two defendants have filed a replying affidavit sworn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Ambune</w:t>
      </w:r>
      <w:proofErr w:type="spellEnd"/>
      <w:r>
        <w:rPr>
          <w:rFonts w:ascii="Times New Roman" w:hAnsi="Times New Roman" w:cs="Times New Roman"/>
          <w:color w:val="000000"/>
        </w:rPr>
        <w:t xml:space="preserve"> the Deputy Chief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Conservator of Forests on 16 February 2006. In brief he </w:t>
      </w:r>
      <w:proofErr w:type="spellStart"/>
      <w:r>
        <w:rPr>
          <w:rFonts w:ascii="Times New Roman" w:hAnsi="Times New Roman" w:cs="Times New Roman"/>
          <w:color w:val="000000"/>
        </w:rPr>
        <w:t>depones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Lower </w:t>
      </w:r>
      <w:proofErr w:type="spellStart"/>
      <w:r>
        <w:rPr>
          <w:rFonts w:ascii="Times New Roman" w:hAnsi="Times New Roman" w:cs="Times New Roman"/>
          <w:color w:val="000000"/>
        </w:rPr>
        <w:t>Imenti</w:t>
      </w:r>
      <w:proofErr w:type="spellEnd"/>
      <w:r>
        <w:rPr>
          <w:rFonts w:ascii="Times New Roman" w:hAnsi="Times New Roman" w:cs="Times New Roman"/>
          <w:color w:val="000000"/>
        </w:rPr>
        <w:t xml:space="preserve"> Forest was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vide Proclamation number 104 of 1938 and that vide Legal Notice number 174 of 20 May 1964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forest was declared to be a central forest. It is contended that the Forest Department has been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requested by a voluntary local group who are interested in fencing and keeping away the animals from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farms to re-establish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forest boundaries and that the exercise was done in July and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2005. The re-establishment of the boundaries revealed isolated encroachment of forest land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amounting to 88.9 hectares. Part of the encroachment is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by the applicant as per the copy of the map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marked EKA4 and that the applicant after presenting an index map was requested to sort out the problem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District Forest Officer – Meru but declined to do so. The applicants claim that beacons have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mounted on his land but that no such beacons have been fixed.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taken into account the arguments presented by the applicants’ counsel and the respondent’s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and that the community is putting up an electric fencing project along the established boundaries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Lower </w:t>
      </w:r>
      <w:proofErr w:type="spellStart"/>
      <w:r>
        <w:rPr>
          <w:rFonts w:ascii="Times New Roman" w:hAnsi="Times New Roman" w:cs="Times New Roman"/>
          <w:color w:val="000000"/>
        </w:rPr>
        <w:t>Imenti</w:t>
      </w:r>
      <w:proofErr w:type="spellEnd"/>
      <w:r>
        <w:rPr>
          <w:rFonts w:ascii="Times New Roman" w:hAnsi="Times New Roman" w:cs="Times New Roman"/>
          <w:color w:val="000000"/>
        </w:rPr>
        <w:t xml:space="preserve"> Forest which project is intended to </w:t>
      </w:r>
      <w:proofErr w:type="spellStart"/>
      <w:r>
        <w:rPr>
          <w:rFonts w:ascii="Times New Roman" w:hAnsi="Times New Roman" w:cs="Times New Roman"/>
          <w:color w:val="000000"/>
        </w:rPr>
        <w:t>minimise</w:t>
      </w:r>
      <w:proofErr w:type="spellEnd"/>
      <w:r>
        <w:rPr>
          <w:rFonts w:ascii="Times New Roman" w:hAnsi="Times New Roman" w:cs="Times New Roman"/>
          <w:color w:val="000000"/>
        </w:rPr>
        <w:t xml:space="preserve"> human wildlife conflict.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issues concerning boundaries under Registered Land Act transactions, the relevant law is 21 and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22 of the Registered Land Act. It is not contended by the applicant that this procedure has been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invoked.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addition the mere fact that section 28 of the RLA Chapter 300 gives a proprietor an indefeasible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title does not on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basis gave him a title that is beyond any challenge including a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challenge. Supposing a person acquires a title vide a first registration of a hospital or forest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plot or a wetland, a water course or a title with natural resources belonging to the public. The question is,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title necessarily indefeasible? I think not although this does not call for a determination now and if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public resource is acquired this can be a ground for challenge. The Government cannot alienate natural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resources without invoking the constitutional procedure and any such alienation as permitted can only be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public benefit. The Government holds public resources for the people generally and therefore there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public trust in respect of all such resources including forests. It is my view that such a public trust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in an appropriate case defeat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an indefeasible title because it is in the public interest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such resources including forest land be held in trust – this being in the public interest, I reiterate the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observations I made in Kenya </w:t>
      </w:r>
      <w:r>
        <w:rPr>
          <w:rFonts w:ascii="Times New Roman" w:hAnsi="Times New Roman" w:cs="Times New Roman"/>
          <w:i/>
          <w:iCs/>
          <w:color w:val="000000"/>
        </w:rPr>
        <w:t>Guards and Allied Workers Union v Security Guards Services and others</w:t>
      </w:r>
      <w:r w:rsidR="00DD45A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miscellaneous application number 1159 of 2003 (UR) concerning the preeminence of the public interest.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This, assumes even greater importance in a matter involving an issue of environmental law.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basis the argument that the applicant has encroached has not been challenged and on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 xml:space="preserve">basis any encroachment would be void in law. Moreover if the respondents </w:t>
      </w:r>
      <w:r>
        <w:rPr>
          <w:rFonts w:ascii="Times New Roman" w:hAnsi="Times New Roman" w:cs="Times New Roman"/>
          <w:color w:val="000000"/>
        </w:rPr>
        <w:lastRenderedPageBreak/>
        <w:t>are found to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encroached on his land he can always be compensated in damages. Issuing a conservatory order in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nature of an injunction would not be proper in this matter especially taking the wider interests of the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members of the community to have the fence done so as to protect themselves from the animals.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will be greater harm in halting the community project. Moreover it is the community which is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fencing and they are not parties to these proceedings.</w:t>
      </w:r>
      <w:r w:rsidR="00DD45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exercising my discretion the balance tilts heavily in refusing the conservatory order as sought.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is dismissed with costs.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6222B9" w:rsidRDefault="006222B9" w:rsidP="0062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6222B9" w:rsidP="006222B9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B9"/>
    <w:rsid w:val="006222B9"/>
    <w:rsid w:val="00AB7022"/>
    <w:rsid w:val="00D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EBF3A-332A-4979-A03E-3E95E1FC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2018-07-05T06:41:00Z</dcterms:created>
  <dcterms:modified xsi:type="dcterms:W3CDTF">2018-07-13T08:56:00Z</dcterms:modified>
</cp:coreProperties>
</file>