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Mohamed and another v Industrial Court of Tanzania and others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19 December 2003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35/99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Ramadhani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Appeal – Right of appeal to High Court in matter where Industrial Court has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sued.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– Industrial Court – Immunity from court process – Whether Industrial Court was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immune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from being sued – Whether a party had recourse to High Court where a matter was still pending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Industrial Court – Section 9A – Permanent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Tribunal Act – Section 4 – Permanent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Tribunal (Amendment) Act.</w:t>
      </w:r>
    </w:p>
    <w:p w:rsidR="00910BF6" w:rsidRDefault="004A2D28" w:rsidP="004A2D28">
      <w:pPr>
        <w:tabs>
          <w:tab w:val="left" w:pos="11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RAMADHANI, MROSO AND NSEKELA JJA: </w:t>
      </w:r>
      <w:r>
        <w:rPr>
          <w:rFonts w:ascii="Times New Roman" w:hAnsi="Times New Roman" w:cs="Times New Roman"/>
          <w:color w:val="000000"/>
        </w:rPr>
        <w:t>This is an appeal against a ruling of the High Court</w:t>
      </w:r>
    </w:p>
    <w:p w:rsidR="004A2D28" w:rsidRDefault="00910BF6" w:rsidP="004A2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commercial</w:t>
      </w:r>
      <w:proofErr w:type="gramEnd"/>
      <w:r>
        <w:rPr>
          <w:rFonts w:ascii="Times New Roman" w:hAnsi="Times New Roman" w:cs="Times New Roman"/>
          <w:color w:val="000000"/>
        </w:rPr>
        <w:t xml:space="preserve"> division, following preliminary objections to a suit which the appellant had filed in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It will be necessary to give a brief background to the suit which the appellant had filed in the High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appellant, </w:t>
      </w:r>
      <w:proofErr w:type="spellStart"/>
      <w:r>
        <w:rPr>
          <w:rFonts w:ascii="Times New Roman" w:hAnsi="Times New Roman" w:cs="Times New Roman"/>
          <w:color w:val="000000"/>
        </w:rPr>
        <w:t>Seleman</w:t>
      </w:r>
      <w:proofErr w:type="spellEnd"/>
      <w:r>
        <w:rPr>
          <w:rFonts w:ascii="Times New Roman" w:hAnsi="Times New Roman" w:cs="Times New Roman"/>
          <w:color w:val="000000"/>
        </w:rPr>
        <w:t xml:space="preserve"> Mohamed, and another (who had also appealed but has withdrawn from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appeal) had worked for the fourth respondent, the Tanzania Telecommunications Company Limited.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plaint, the services of the appellant were terminated on 30 June 1986, when he was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declared redundant. The appellant and other employees who were also declared redundant complained to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trade union, JUWATA. Its Secretary General reported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 under section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9A(1) of the Permanent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Tribunal Act, number 41 of 1967, as amended by section 4 of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Permanent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Tribunal (Amendment) Act number 18 of 1977.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 inquired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causes and circumstances of the dispute and, with the approval of the Minister responsible for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matters, referred it to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Court, the first respondent in this appeal. The first respondent was to inquire into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and thereafter report to the Minister, who is the second respondent in the appeal. The decision of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Minister, based on the report by the first respondent, would constitute an award when pronounced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registered by the first respondent. Apparently, the first respondent has not carried out the inquiry to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Whilst the inquiry by the first respondent was being awaited the appellants’ trade union and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employer reached a voluntary agreement in which the appellant and others were to be reinstated in their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employment. That agreement was irregularly submitted to the first respondent for registration as an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award. That was in June 1992. Because of the irregularity, the appellant considered the award null and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void, and complained to the Minister responsible for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matters.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1995 the first respondent carried out an inquiry in the absence of the parties in dispute and sent an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advisory opinion to the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commissioner, who is the third respondent in this appeal. The appellant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considered that advisory opinion also to be null and void because it proceeded from a breach of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principles of natural justice, that is to say, the failure to hear the stakeholders before submitting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opinion. To the extent that the advice of the first respondent to the third respondent appeared to confirm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award which had proceeded from the voluntary agreement and which the appellant had considered to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null and void, the advice was also considered illegal. The appellant believed he had suffered injustice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prejudice because of alleged failure by the respondents to comply with the statutory requirements of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 of Tanzania Act. He listed some of the injustices he suffered as including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non-reinstatement in his employment, loss of repatriation pay, loss of substance allowance, loss of long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 award, loss of promotion and loss of unpaid wages and fringe benefits. He sought reliefs in court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filing his claim on 12 September 1997. The main reliefs were: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1. A declaration that: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decisions and awards of the Industrial Court are null and void and of no effect in law.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appellant (then plaintiff) was still in the employment of the Tanzania Telecommunications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Company Limited and was entitled to be paid wages and fringe benefits.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2. A n order that a report by the Industrial Court of Tanzania be made to the Minister responsible for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matters as requited by section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9A(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1) of the Permanent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Tribunal Act, number 421 of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1967 as amended by section 4 of the Permanent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Tribunal (Amendment) Act number 18 of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1977 and the Minister makes a decision arising from the report, as per s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ction 9B of the Act.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After the pleadings had been filed </w:t>
      </w:r>
      <w:r>
        <w:rPr>
          <w:rFonts w:ascii="Times New Roman" w:hAnsi="Times New Roman" w:cs="Times New Roman"/>
          <w:color w:val="000000"/>
        </w:rPr>
        <w:lastRenderedPageBreak/>
        <w:t>and the case was ready for hearing the first, second, third and fifth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jointly raised two points of preliminary objection. These were (in the order they were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by the High Court).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(1) That no cause of action had been disclosed, and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(2) That if a cause of action had been disclosed, then the claim was time barred.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answering the first point of objection the High Court, </w:t>
      </w:r>
      <w:proofErr w:type="spellStart"/>
      <w:r>
        <w:rPr>
          <w:rFonts w:ascii="Times New Roman" w:hAnsi="Times New Roman" w:cs="Times New Roman"/>
          <w:color w:val="000000"/>
        </w:rPr>
        <w:t>Kalegeya</w:t>
      </w:r>
      <w:proofErr w:type="spellEnd"/>
      <w:r>
        <w:rPr>
          <w:rFonts w:ascii="Times New Roman" w:hAnsi="Times New Roman" w:cs="Times New Roman"/>
          <w:color w:val="000000"/>
        </w:rPr>
        <w:t xml:space="preserve"> J said: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“Clearly the war by the plaintiffs is waged against the actions or non-actions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by the Industrial Court of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Tanzania. They are complaining against that Court’s failure to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decide on the trade dispute referred to it, (against) an award of a voluntary agreement which did not pass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through the legally prescribed procedure, and subsequent advice confirming this award by the same court to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commissioner”.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quoted passage appears to suggest that the High Court had found that a cause of action had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been disclosed from the plaint, the Court proceeded to say that the appellant should not have </w:t>
      </w:r>
      <w:proofErr w:type="spellStart"/>
      <w:r>
        <w:rPr>
          <w:rFonts w:ascii="Times New Roman" w:hAnsi="Times New Roman" w:cs="Times New Roman"/>
          <w:color w:val="000000"/>
        </w:rPr>
        <w:t>field</w:t>
      </w:r>
      <w:proofErr w:type="spellEnd"/>
      <w:r>
        <w:rPr>
          <w:rFonts w:ascii="Times New Roman" w:hAnsi="Times New Roman" w:cs="Times New Roman"/>
          <w:color w:val="000000"/>
        </w:rPr>
        <w:t xml:space="preserve"> a suit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should have petitioned for prerogative orders. The Court said: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“a proper way by which the inactions and actions of the Industrial Court can be challenged is by way of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applying for prerogative orders and not by way of a suit as the plaintiffs have done”.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second point of objection, the High Court held that the action was based on contract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has a limitation period of six years. Since according to the High Court, the cause of action arose in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1986 by 1997 (over ten years later) when the action was filed in court the limitation period of six years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long passed. The Judge said: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it was to be held that the plaintiff could come to this Court by way of a suit as they did, clearly they would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barred by limitation of time. This is so because, the cause of action should be taken to have arose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in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1986 when they were declared redundant. Again this would be based on contract of employment between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 and the fourth defendant. A suit founded on such contract can only be instituted within six years of the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accrual of the cause of action”.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Court concluded: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two preliminary objections raised by the first, second and fifth defendants are accordingly sustained”.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It followed that the Court dismissed the action on the basis of the preliminary points of objection and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it unnecessary to deal with the preliminary objections which were raised by the fourth respondent.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appeal six substantial grounds have been raised. These are that:</w:t>
      </w:r>
      <w:r w:rsidR="004A2D28">
        <w:rPr>
          <w:rFonts w:ascii="Times New Roman" w:hAnsi="Times New Roman" w:cs="Times New Roman"/>
          <w:color w:val="000000"/>
        </w:rPr>
        <w:t xml:space="preserve"> </w:t>
      </w:r>
    </w:p>
    <w:p w:rsidR="004A2D28" w:rsidRDefault="00910BF6" w:rsidP="004A2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not holding that the Court has jurisdiction to entertain a suit in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a declaratory judgment or order is sought.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A2D28" w:rsidRDefault="00910BF6" w:rsidP="004A2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trial Judge erred in law in holding that a suit for a declaratory judgment is barred by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limitation of time.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910BF6" w:rsidRDefault="00910BF6" w:rsidP="004A2D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>That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Learned Judge erred in law in holding that the only way to challenge non-actions and actions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Industrial Court is by way of applying for prerogative orders.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4. I n computing time within which to file a suit, the Learned trial Judge erred in law and fact in not taking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into consideration that: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voluntary agreement complained of was registered by the Industrial Court on 16 June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1992.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commissioner’s letter reference number KZ/U.10/mg/385/23 dated 2 March 1999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issued under the then section 10 of the Industrial Court Act.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advice made by the Industrial Court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labour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commissioner on or about 3 August 1995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under the then section 10 of the Industrial Court of Tanzania Act of 1967.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Industrial Court has not enquired into the dispute and made a report thereon to the Minister,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trial Judge erred in law and fact in not holding that there was and there is still a continuing cause of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action and therefore, that the suit was filed in time.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6. I n the circumstances the High Court ought to have made an order striking out or amending any matter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was unnecessary or scandalous or which tended to prejudice, embarrass or delay the fair trial of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suit.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Among the prayers which were made to this Court are that the appellant be allowed to amend the plaint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that the suit be heard by the High Court on merits.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 the hearing of the appeal the first appellant appeared in person and the first, second and fifth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 were 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Chidowu</w:t>
      </w:r>
      <w:proofErr w:type="spellEnd"/>
      <w:r>
        <w:rPr>
          <w:rFonts w:ascii="Times New Roman" w:hAnsi="Times New Roman" w:cs="Times New Roman"/>
          <w:color w:val="000000"/>
        </w:rPr>
        <w:t>, Learned State Attorney, and the fourth respondent was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Swai</w:t>
      </w:r>
      <w:proofErr w:type="spellEnd"/>
      <w:r>
        <w:rPr>
          <w:rFonts w:ascii="Times New Roman" w:hAnsi="Times New Roman" w:cs="Times New Roman"/>
          <w:color w:val="000000"/>
        </w:rPr>
        <w:t>, learned advocate. The appellant had lodged in Court, under rule 99 of the Court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rules, a written statement of his arguments in support of his appeal and, therefore, could not address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Court except, with the leave of the Court, replied briefly to submissions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Chidowu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this appeal we have to confine our decision to what the High Court said in relation to the points which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raised in the preliminary objection. Those were whether the plaint as filed by the appellant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disclosed a cause of action against the respondents and whether, if the first point is answered in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affirmative, whether the suit was in any case time barred.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appellant sued the five respondents, his main grievance was against the first respondent,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Industrial Court. This view is supported by the nature of the reliefs which were sought from the High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The High Court held the same view. But the High Court did not really go into and decide whether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had a cause of action against any of the respondents. It merely decided that the appellant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used the wrong avenue; that he should have applied for the issue of relevant prerogative orders and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to file a suit.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his written arguments to this Court the appellant has argued that the High Court was wrong to say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only way to challenge the action and in actions of the Industrial Court was by seeking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prerogative orders of the High Court. He submits that one can sue for a declaratory decree. He said that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section 7(2) of the Civil Procedure Code of 1966 an aggrieved party may sue for a declaratory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or order.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true, of course, as submitted by the appellant, that a party may sue for a declaratory judgment or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order. But the High Court did not say that one could not do so. What the High Court said was that if a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 wanted to challenge the “inactions and actions of the Industrial Court” one could do so by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petitioning for the prerogative orders of the High Court. In other words, one could not sue the Industrial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in the High Court or in any other court for that matter. Was the High Court right in saying so?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referred to a book titled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</w:rPr>
        <w:t>na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zako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2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Utaratibu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Kutatua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Migogoro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Kazi</w:t>
      </w:r>
      <w:proofErr w:type="spellEnd"/>
      <w:r>
        <w:rPr>
          <w:rFonts w:ascii="Times New Roman" w:hAnsi="Times New Roman" w:cs="Times New Roman"/>
          <w:color w:val="000000"/>
        </w:rPr>
        <w:t xml:space="preserve">” by James L </w:t>
      </w:r>
      <w:proofErr w:type="spellStart"/>
      <w:r>
        <w:rPr>
          <w:rFonts w:ascii="Times New Roman" w:hAnsi="Times New Roman" w:cs="Times New Roman"/>
          <w:color w:val="000000"/>
        </w:rPr>
        <w:t>Mwalusanya</w:t>
      </w:r>
      <w:proofErr w:type="spellEnd"/>
      <w:r>
        <w:rPr>
          <w:rFonts w:ascii="Times New Roman" w:hAnsi="Times New Roman" w:cs="Times New Roman"/>
          <w:color w:val="000000"/>
        </w:rPr>
        <w:t xml:space="preserve"> J as he then was. The passage which the appellant relied on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reads as follows: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Njia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pili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ambayo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mahakama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hutumia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kutengua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maamuzi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vyombo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dola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vyombo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vya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nidhamu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kutoa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tamko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(declaratory judgment)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chini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kifungu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cha 7(2) cha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Kanuni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Mashauri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Madai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(Civil Procedure Code)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Sheria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Na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49 of 1966.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Uamuzi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Ukitenguliwa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basi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mfanyakazi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anarudishwa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kazini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tazama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Esso Standard Tanzania Ltd v DR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Kaijage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civil appeal number 6 of 1989: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niliyoitaja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hapo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juu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).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Utaratibu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huu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kuomba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tamko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(declaration)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bora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zaidi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ule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amri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mamlaka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(prerogative orders). Kwanza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aina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hii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zinaweza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kufunguliwa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wakati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wowote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yaani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hakuna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kikomo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cha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uliopangwa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ufungue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katika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muda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fulani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Pili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huna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haja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kuomba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kibali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cha</w:t>
      </w:r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Mahakama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kabla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kufungua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kuomba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tamko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Tatu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unaruhusiwa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kuunganisha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madai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fidia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kwa</w:t>
      </w:r>
      <w:proofErr w:type="spellEnd"/>
      <w:proofErr w:type="gram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hasara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uliyopata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ulipoachishwa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kazi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bila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halali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madai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kuomba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tamko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(declaration) –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tazama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kesi</w:t>
      </w:r>
      <w:proofErr w:type="spellEnd"/>
      <w:r w:rsidR="004A2D2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Barnard v NDLB [1953] 2 QB 18.”</w:t>
      </w:r>
      <w:r w:rsidR="004A2D2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We have not been able to see and read the said book but we do not read in the passage any clear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that a person can sue the Industrial Court.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Chidowu</w:t>
      </w:r>
      <w:proofErr w:type="spellEnd"/>
      <w:r>
        <w:rPr>
          <w:rFonts w:ascii="Times New Roman" w:hAnsi="Times New Roman" w:cs="Times New Roman"/>
          <w:color w:val="000000"/>
        </w:rPr>
        <w:t>, Learned State Attorney, did not allude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this point in his submissions. We are of the view, however, that although the Industrial Court of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Tanzania still retains some characteristics of an administrative tribunal (like the erstwhile Permanent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Tribunal), yet it is a court which appears to be of similar stature as a division of the High Court,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 that it cannot at least be said to be an inferior tribunal to the High Court. So, it is doubtful if the High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can call to itself decisions of the Industrial Court and quash them. But it is unnecessary to decide in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appeal whether a person can petition the High Court to exercise its review powers over the Industrial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Court. No decision of the Industrial Court was sought to be reviewed by the High Court. The appellant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sought to sue the Industrial Court and we are of the view that the appellant could not do so. It follows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if one could not sue the Industrial Court, as the appellant purported to do, the question of whether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a cause of action against the Industrial Court did not arise. Similarly, the question whether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would or would not be time barred would not arise. But all this is as far as the Industrial Court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was concerned. How about the other respondents?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mentioned earlier, the High Court did not relate to the preliminary objection of the other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But we are of the considered opinion that even if the High Court were to discuss the points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preliminary objection in relation to the other respondents it would have found that the appellant’s suit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premature. Therefore, there was no cause of action up to the time the suit was filed.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appellant, the Industrial Court was supposed to inquire into the circumstances that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led to this being declared redundant and report to the Minister. If the report disclosed that the appellant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wrongfully terminated through redundancy, it would possibly recommend in its report to the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Minister that he be reinstated and to get all the necessary consequential benefits. Unfortunately,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 to the appellant, the Industrial Court has not fulfilled that task to date. So, unless the reference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Industrial Court was withdrawn or formally abandoned, the appellant could not just decide to take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avenue by filing a suit in court when the previous recourse was still unexhausted. It would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appear, therefore, that even the question of whether the suit was time barred did not really arise because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suit, as it related to the other respondents, was premature.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High Court upheld the preliminary objections, but we think it was unnecessary for the reasons we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given. We hold that the suit was incompetent as far as the Industrial Court was concerned and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premature in relation to the other respondents.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Considering the approach we have taken, it is unnecessary to consider the remaining grounds of</w:t>
      </w:r>
      <w:r w:rsidR="004A2D2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appeal. We dismiss the appeal but for different reasons from those which were urged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Chidowu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910BF6" w:rsidRDefault="00910BF6" w:rsidP="004A2D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00"/>
        </w:rPr>
        <w:t>We make no order for costs.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Chidowu</w:t>
      </w:r>
      <w:proofErr w:type="spellEnd"/>
    </w:p>
    <w:p w:rsidR="00910BF6" w:rsidRDefault="00910BF6" w:rsidP="00910B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For the fourth respondent:</w:t>
      </w:r>
    </w:p>
    <w:p w:rsidR="0021070D" w:rsidRDefault="00910BF6" w:rsidP="00910BF6">
      <w:proofErr w:type="spellStart"/>
      <w:r>
        <w:rPr>
          <w:rFonts w:ascii="Times New Roman" w:hAnsi="Times New Roman" w:cs="Times New Roman"/>
          <w:i/>
          <w:iCs/>
          <w:color w:val="000000"/>
        </w:rPr>
        <w:t>Swai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F6"/>
    <w:rsid w:val="0021070D"/>
    <w:rsid w:val="004A2D28"/>
    <w:rsid w:val="0091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3DAED-BD47-4EE6-9806-AE138189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2322</Words>
  <Characters>13238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2018-07-04T12:35:00Z</dcterms:created>
  <dcterms:modified xsi:type="dcterms:W3CDTF">2018-07-13T09:04:00Z</dcterms:modified>
</cp:coreProperties>
</file>