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Mohamed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Bakari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[2005] 2 EA 213 (CAK)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16 September 2005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238/03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238/03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>, Onyango-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Election petition – Service of election petitions – Whether service of elections must be personal –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Section 20(1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a) – National Assembly and Presidential Elections Act – Rule 14(2) – Election Petition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Rules.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214 of [2005] 2 EA 213 (CAK)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Judicature – Hierarchy of courts – Doctrine of precedent – Whether High Court can hold differently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from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Court of Appeal.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Following the general elections in Kenya on 27 December 2002, the Electoral Commission of Kenya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declared</w:t>
      </w:r>
      <w:proofErr w:type="gramEnd"/>
      <w:r>
        <w:rPr>
          <w:rFonts w:ascii="Times New Roman" w:hAnsi="Times New Roman" w:cs="Times New Roman"/>
          <w:color w:val="000000"/>
        </w:rPr>
        <w:t xml:space="preserve"> the appellant as the duly elected member of Parliament for </w:t>
      </w:r>
      <w:proofErr w:type="spellStart"/>
      <w:r>
        <w:rPr>
          <w:rFonts w:ascii="Times New Roman" w:hAnsi="Times New Roman" w:cs="Times New Roman"/>
          <w:color w:val="000000"/>
        </w:rPr>
        <w:t>Lamu</w:t>
      </w:r>
      <w:proofErr w:type="spellEnd"/>
      <w:r>
        <w:rPr>
          <w:rFonts w:ascii="Times New Roman" w:hAnsi="Times New Roman" w:cs="Times New Roman"/>
          <w:color w:val="000000"/>
        </w:rPr>
        <w:t xml:space="preserve"> East Constituency. The date of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declaration was 3 January 2003. The first respondent filed Election cause number 3 of 2003 at the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Mombasa High Court Registry on 27 January 2003, challenging the election of the appellant as the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member</w:t>
      </w:r>
      <w:proofErr w:type="gramEnd"/>
      <w:r>
        <w:rPr>
          <w:rFonts w:ascii="Times New Roman" w:hAnsi="Times New Roman" w:cs="Times New Roman"/>
          <w:color w:val="000000"/>
        </w:rPr>
        <w:t xml:space="preserve"> of Parliament for </w:t>
      </w:r>
      <w:proofErr w:type="spellStart"/>
      <w:r>
        <w:rPr>
          <w:rFonts w:ascii="Times New Roman" w:hAnsi="Times New Roman" w:cs="Times New Roman"/>
          <w:color w:val="000000"/>
        </w:rPr>
        <w:t>Lamu</w:t>
      </w:r>
      <w:proofErr w:type="spellEnd"/>
      <w:r>
        <w:rPr>
          <w:rFonts w:ascii="Times New Roman" w:hAnsi="Times New Roman" w:cs="Times New Roman"/>
          <w:color w:val="000000"/>
        </w:rPr>
        <w:t xml:space="preserve"> East Constituency. The appellant, on 18 March 2003 took out a motion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on</w:t>
      </w:r>
      <w:proofErr w:type="gramEnd"/>
      <w:r>
        <w:rPr>
          <w:rFonts w:ascii="Times New Roman" w:hAnsi="Times New Roman" w:cs="Times New Roman"/>
          <w:color w:val="000000"/>
        </w:rPr>
        <w:t xml:space="preserve"> notice under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National Assembly and Presidential Elections Act seeking,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principally</w:t>
      </w:r>
      <w:proofErr w:type="gramEnd"/>
      <w:r>
        <w:rPr>
          <w:rFonts w:ascii="Times New Roman" w:hAnsi="Times New Roman" w:cs="Times New Roman"/>
          <w:color w:val="000000"/>
        </w:rPr>
        <w:t>, that the petition be struck out on the ground that the same was not personally served on him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within</w:t>
      </w:r>
      <w:proofErr w:type="gramEnd"/>
      <w:r>
        <w:rPr>
          <w:rFonts w:ascii="Times New Roman" w:hAnsi="Times New Roman" w:cs="Times New Roman"/>
          <w:color w:val="000000"/>
        </w:rPr>
        <w:t xml:space="preserve"> 28 days after the date of the publication of the result of the Parliamentary elections in the Kenya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Gazette, on 3 January 2003 or at all. The first respondent adduced evidence that his lawyers had made all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efforts</w:t>
      </w:r>
      <w:proofErr w:type="gramEnd"/>
      <w:r>
        <w:rPr>
          <w:rFonts w:ascii="Times New Roman" w:hAnsi="Times New Roman" w:cs="Times New Roman"/>
          <w:color w:val="000000"/>
        </w:rPr>
        <w:t xml:space="preserve"> conceivable to personally serve the appellant with the election petition but that the appellant went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into</w:t>
      </w:r>
      <w:proofErr w:type="gramEnd"/>
      <w:r>
        <w:rPr>
          <w:rFonts w:ascii="Times New Roman" w:hAnsi="Times New Roman" w:cs="Times New Roman"/>
          <w:color w:val="000000"/>
        </w:rPr>
        <w:t xml:space="preserve"> hiding in order to evade service. The trial judge dismissed the notice of motion and further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distinguished</w:t>
      </w:r>
      <w:proofErr w:type="gramEnd"/>
      <w:r>
        <w:rPr>
          <w:rFonts w:ascii="Times New Roman" w:hAnsi="Times New Roman" w:cs="Times New Roman"/>
          <w:color w:val="000000"/>
        </w:rPr>
        <w:t xml:space="preserve"> an earlier ruling by the Court of Appeal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Daniel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Arap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[2000] 1 EA 115 on the ground that the decision in this case was reached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incuriam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provisions of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rule</w:t>
      </w:r>
      <w:proofErr w:type="gramEnd"/>
      <w:r>
        <w:rPr>
          <w:rFonts w:ascii="Times New Roman" w:hAnsi="Times New Roman" w:cs="Times New Roman"/>
          <w:color w:val="000000"/>
        </w:rPr>
        <w:t xml:space="preserve"> 14(2) of the National Assembly and Presidential (Election petition) rules when it held that only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personal</w:t>
      </w:r>
      <w:proofErr w:type="gramEnd"/>
      <w:r>
        <w:rPr>
          <w:rFonts w:ascii="Times New Roman" w:hAnsi="Times New Roman" w:cs="Times New Roman"/>
          <w:color w:val="000000"/>
        </w:rPr>
        <w:t xml:space="preserve"> service was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under the National Assembly and Presidential Elections Act on appeal: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The decision of the Court of Appeal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(ibid</w:t>
      </w:r>
      <w:r>
        <w:rPr>
          <w:rFonts w:ascii="Times New Roman" w:hAnsi="Times New Roman" w:cs="Times New Roman"/>
          <w:color w:val="000000"/>
        </w:rPr>
        <w:t>) that following the amendments to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section</w:t>
      </w:r>
      <w:proofErr w:type="gramEnd"/>
      <w:r>
        <w:rPr>
          <w:rFonts w:ascii="Times New Roman" w:hAnsi="Times New Roman" w:cs="Times New Roman"/>
          <w:color w:val="000000"/>
        </w:rPr>
        <w:t xml:space="preserve"> 20 of the National Assembly and Presidential Elections Act the only way of serving an election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petition</w:t>
      </w:r>
      <w:proofErr w:type="gramEnd"/>
      <w:r>
        <w:rPr>
          <w:rFonts w:ascii="Times New Roman" w:hAnsi="Times New Roman" w:cs="Times New Roman"/>
          <w:color w:val="000000"/>
        </w:rPr>
        <w:t xml:space="preserve"> was by way of personal service, was based on the specific facts of that case.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High Court judge, under the doctrine of precedent, is bound by the decisions of the Court of Appeal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even</w:t>
      </w:r>
      <w:proofErr w:type="gramEnd"/>
      <w:r>
        <w:rPr>
          <w:rFonts w:ascii="Times New Roman" w:hAnsi="Times New Roman" w:cs="Times New Roman"/>
          <w:color w:val="000000"/>
        </w:rPr>
        <w:t xml:space="preserve"> if he may not approve of a particular decision.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material placed before the trial judge, any reasonable tribunal would be fully justified in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concluding</w:t>
      </w:r>
      <w:proofErr w:type="gramEnd"/>
      <w:r>
        <w:rPr>
          <w:rFonts w:ascii="Times New Roman" w:hAnsi="Times New Roman" w:cs="Times New Roman"/>
          <w:color w:val="000000"/>
        </w:rPr>
        <w:t xml:space="preserve"> that the appellant had gone underground with the sole purpose of evading personal service.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decision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that if personal service which </w:t>
      </w:r>
      <w:proofErr w:type="gramStart"/>
      <w:r>
        <w:rPr>
          <w:rFonts w:ascii="Times New Roman" w:hAnsi="Times New Roman" w:cs="Times New Roman"/>
          <w:color w:val="000000"/>
        </w:rPr>
        <w:t>is the best form</w:t>
      </w:r>
      <w:proofErr w:type="gramEnd"/>
      <w:r>
        <w:rPr>
          <w:rFonts w:ascii="Times New Roman" w:hAnsi="Times New Roman" w:cs="Times New Roman"/>
          <w:color w:val="000000"/>
        </w:rPr>
        <w:t xml:space="preserve"> of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service</w:t>
      </w:r>
      <w:proofErr w:type="gramEnd"/>
      <w:r>
        <w:rPr>
          <w:rFonts w:ascii="Times New Roman" w:hAnsi="Times New Roman" w:cs="Times New Roman"/>
          <w:color w:val="000000"/>
        </w:rPr>
        <w:t xml:space="preserve"> in all areas of litigation, is not possible, other forms may be resorted to.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is nothing unconstitutional in striking out an incompetent election petition.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Githingi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JA</w:t>
      </w:r>
      <w:r>
        <w:rPr>
          <w:rFonts w:ascii="Times New Roman" w:hAnsi="Times New Roman" w:cs="Times New Roman"/>
          <w:color w:val="000000"/>
        </w:rPr>
        <w:t>) – The purpose of the Constitution of a statute is to find out the intention of the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Legislature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 If the words of the statute are clear and unambiguous effect must be given to them. It is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not</w:t>
      </w:r>
      <w:proofErr w:type="gramEnd"/>
      <w:r>
        <w:rPr>
          <w:rFonts w:ascii="Times New Roman" w:hAnsi="Times New Roman" w:cs="Times New Roman"/>
          <w:color w:val="000000"/>
        </w:rPr>
        <w:t xml:space="preserve"> permissible in the construction of statutes to imply a provision in the statute which is inconsistent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with</w:t>
      </w:r>
      <w:proofErr w:type="gramEnd"/>
      <w:r>
        <w:rPr>
          <w:rFonts w:ascii="Times New Roman" w:hAnsi="Times New Roman" w:cs="Times New Roman"/>
          <w:color w:val="000000"/>
        </w:rPr>
        <w:t xml:space="preserve"> the words expressly used.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215 of [2005] 2 EA 213 (CAK)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Githinji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JA</w:t>
      </w:r>
      <w:r>
        <w:rPr>
          <w:rFonts w:ascii="Times New Roman" w:hAnsi="Times New Roman" w:cs="Times New Roman"/>
          <w:color w:val="000000"/>
        </w:rPr>
        <w:t xml:space="preserve">) The Court of Appeal is bound by the principle of </w:t>
      </w:r>
      <w:r>
        <w:rPr>
          <w:rFonts w:ascii="Times New Roman" w:hAnsi="Times New Roman" w:cs="Times New Roman"/>
          <w:i/>
          <w:iCs/>
          <w:color w:val="000000"/>
        </w:rPr>
        <w:t xml:space="preserve">stare decisis </w:t>
      </w:r>
      <w:r>
        <w:rPr>
          <w:rFonts w:ascii="Times New Roman" w:hAnsi="Times New Roman" w:cs="Times New Roman"/>
          <w:color w:val="000000"/>
        </w:rPr>
        <w:t>to follow its own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decisions</w:t>
      </w:r>
      <w:proofErr w:type="gramEnd"/>
      <w:r>
        <w:rPr>
          <w:rFonts w:ascii="Times New Roman" w:hAnsi="Times New Roman" w:cs="Times New Roman"/>
          <w:color w:val="000000"/>
        </w:rPr>
        <w:t xml:space="preserve"> except where,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 xml:space="preserve">, the decision was given </w:t>
      </w:r>
      <w:r>
        <w:rPr>
          <w:rFonts w:ascii="Times New Roman" w:hAnsi="Times New Roman" w:cs="Times New Roman"/>
          <w:i/>
          <w:iCs/>
          <w:color w:val="000000"/>
        </w:rPr>
        <w:t xml:space="preserve">per incurrence </w:t>
      </w:r>
      <w:r>
        <w:rPr>
          <w:rFonts w:ascii="Times New Roman" w:hAnsi="Times New Roman" w:cs="Times New Roman"/>
          <w:color w:val="000000"/>
        </w:rPr>
        <w:t xml:space="preserve">and a decision is given </w:t>
      </w:r>
      <w:r>
        <w:rPr>
          <w:rFonts w:ascii="Times New Roman" w:hAnsi="Times New Roman" w:cs="Times New Roman"/>
          <w:i/>
          <w:iCs/>
          <w:color w:val="000000"/>
        </w:rPr>
        <w:t>per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incuriam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if it is given in ignorance or forgetfulness of some inconsistent statutory provision or authority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binding</w:t>
      </w:r>
      <w:proofErr w:type="gramEnd"/>
      <w:r>
        <w:rPr>
          <w:rFonts w:ascii="Times New Roman" w:hAnsi="Times New Roman" w:cs="Times New Roman"/>
          <w:color w:val="000000"/>
        </w:rPr>
        <w:t xml:space="preserve"> on it.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Githinji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JA dissenting</w:t>
      </w:r>
      <w:r>
        <w:rPr>
          <w:rFonts w:ascii="Times New Roman" w:hAnsi="Times New Roman" w:cs="Times New Roman"/>
          <w:color w:val="000000"/>
        </w:rPr>
        <w:t>) – Section 20(1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National Assembly and Presidential Elections Act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did</w:t>
      </w:r>
      <w:proofErr w:type="gramEnd"/>
      <w:r>
        <w:rPr>
          <w:rFonts w:ascii="Times New Roman" w:hAnsi="Times New Roman" w:cs="Times New Roman"/>
          <w:color w:val="000000"/>
        </w:rPr>
        <w:t xml:space="preserve"> not decree, as the court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erroneously said that service of election petitions must be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personal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Githinji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JA dissenting</w:t>
      </w:r>
      <w:r>
        <w:rPr>
          <w:rFonts w:ascii="Times New Roman" w:hAnsi="Times New Roman" w:cs="Times New Roman"/>
          <w:color w:val="000000"/>
        </w:rPr>
        <w:t xml:space="preserve">) – The Court of Appeal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ignored the provisions of rule 14(2) of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National Assembly and Presidential (election petition) rules which was the only provision prescribing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mode of service and imported into the Act the requirement of personal service of Election petition is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disregard</w:t>
      </w:r>
      <w:proofErr w:type="gramEnd"/>
      <w:r>
        <w:rPr>
          <w:rFonts w:ascii="Times New Roman" w:hAnsi="Times New Roman" w:cs="Times New Roman"/>
          <w:color w:val="000000"/>
        </w:rPr>
        <w:t xml:space="preserve"> of the cannons of the construction of statutes. The decision was, therefore, given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incuriam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Chelaite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Njuki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Civil appeal number 150 of 1998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Dodhia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Nat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Grindlays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Bank Ltd </w:t>
      </w:r>
      <w:r>
        <w:rPr>
          <w:rFonts w:ascii="Times New Roman" w:hAnsi="Times New Roman" w:cs="Times New Roman"/>
          <w:color w:val="000000"/>
        </w:rPr>
        <w:t>[1970] EA 195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Income Tax v T </w:t>
      </w:r>
      <w:r>
        <w:rPr>
          <w:rFonts w:ascii="Times New Roman" w:hAnsi="Times New Roman" w:cs="Times New Roman"/>
          <w:color w:val="000000"/>
        </w:rPr>
        <w:t>[1974] EA 546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[2000] 1 EA 115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Kiriri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Cotton Company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Devani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[1958] EA 159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Murathe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Macharia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appeal number 171 of 1998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8023B5" w:rsidRDefault="008023B5" w:rsidP="00802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Ferrell v Alexander </w:t>
      </w:r>
      <w:r>
        <w:rPr>
          <w:rFonts w:ascii="Times New Roman" w:hAnsi="Times New Roman" w:cs="Times New Roman"/>
          <w:color w:val="000000"/>
        </w:rPr>
        <w:t>[1976] 1 All ER 129</w:t>
      </w:r>
    </w:p>
    <w:p w:rsidR="00366D10" w:rsidRDefault="008023B5" w:rsidP="008023B5">
      <w:r>
        <w:rPr>
          <w:rFonts w:ascii="Times New Roman" w:hAnsi="Times New Roman" w:cs="Times New Roman"/>
          <w:i/>
          <w:iCs/>
          <w:color w:val="000000"/>
        </w:rPr>
        <w:t xml:space="preserve">Young v Bristol Aero Plane Company Ltd </w:t>
      </w:r>
      <w:r>
        <w:rPr>
          <w:rFonts w:ascii="Times New Roman" w:hAnsi="Times New Roman" w:cs="Times New Roman"/>
          <w:color w:val="000000"/>
        </w:rPr>
        <w:t>[1944] 1 KB 718</w:t>
      </w:r>
      <w:bookmarkStart w:id="0" w:name="_GoBack"/>
      <w:bookmarkEnd w:id="0"/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3B5"/>
    <w:rsid w:val="00366D10"/>
    <w:rsid w:val="0080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7C4C4-849A-46D3-9978-9845F9E8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2018-07-04T19:45:00Z</dcterms:created>
  <dcterms:modified xsi:type="dcterms:W3CDTF">2018-07-04T19:46:00Z</dcterms:modified>
</cp:coreProperties>
</file>