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CD8" w:rsidRDefault="00EB2CD8" w:rsidP="00EB2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Mohamed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Bakari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others</w:t>
      </w:r>
    </w:p>
    <w:p w:rsidR="00EB2CD8" w:rsidRDefault="00EB2CD8" w:rsidP="00EB2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EB2CD8" w:rsidRDefault="00EB2CD8" w:rsidP="00EB2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16 September 2005</w:t>
      </w:r>
    </w:p>
    <w:p w:rsidR="00EB2CD8" w:rsidRDefault="00EB2CD8" w:rsidP="00EB2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238/03</w:t>
      </w:r>
    </w:p>
    <w:p w:rsidR="00EB2CD8" w:rsidRDefault="00EB2CD8" w:rsidP="00EB2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238/03</w:t>
      </w:r>
    </w:p>
    <w:p w:rsidR="00EB2CD8" w:rsidRDefault="00EB2CD8" w:rsidP="00EB2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Omolo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Tunoi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O’kubasu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Githinji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Waki</w:t>
      </w:r>
      <w:proofErr w:type="spellEnd"/>
      <w:r>
        <w:rPr>
          <w:rFonts w:ascii="Times New Roman" w:hAnsi="Times New Roman" w:cs="Times New Roman"/>
          <w:color w:val="000000"/>
        </w:rPr>
        <w:t>, Onyango-</w:t>
      </w:r>
      <w:proofErr w:type="spellStart"/>
      <w:r>
        <w:rPr>
          <w:rFonts w:ascii="Times New Roman" w:hAnsi="Times New Roman" w:cs="Times New Roman"/>
          <w:color w:val="000000"/>
        </w:rPr>
        <w:t>Otieno</w:t>
      </w:r>
      <w:proofErr w:type="spellEnd"/>
      <w:r>
        <w:rPr>
          <w:rFonts w:ascii="Times New Roman" w:hAnsi="Times New Roman" w:cs="Times New Roman"/>
          <w:color w:val="000000"/>
        </w:rPr>
        <w:t xml:space="preserve"> and</w:t>
      </w:r>
    </w:p>
    <w:p w:rsidR="00EB2CD8" w:rsidRDefault="00EB2CD8" w:rsidP="00EB2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Deverell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EB2CD8" w:rsidRDefault="00EB2CD8" w:rsidP="00EB2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EB2CD8" w:rsidRDefault="00EB2CD8" w:rsidP="00EB2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Election petition – Service of election petitions – Whether service of elections must be personal –</w:t>
      </w:r>
    </w:p>
    <w:p w:rsidR="00EB2CD8" w:rsidRDefault="00EB2CD8" w:rsidP="00EB2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Section 20(1</w:t>
      </w:r>
      <w:proofErr w:type="gramStart"/>
      <w:r>
        <w:rPr>
          <w:rFonts w:ascii="Times New Roman" w:hAnsi="Times New Roman" w:cs="Times New Roman"/>
          <w:i/>
          <w:iCs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a) – National Assembly and Presidential Elections Act – Rule 14(2) – Election Petition</w:t>
      </w:r>
    </w:p>
    <w:p w:rsidR="00EB2CD8" w:rsidRDefault="00EB2CD8" w:rsidP="00EB2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Rules.</w:t>
      </w:r>
    </w:p>
    <w:p w:rsidR="00EB2CD8" w:rsidRDefault="00754B44" w:rsidP="00EB2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EB2CD8">
        <w:rPr>
          <w:rFonts w:ascii="Times New Roman" w:hAnsi="Times New Roman" w:cs="Times New Roman"/>
          <w:i/>
          <w:iCs/>
          <w:color w:val="000000"/>
        </w:rPr>
        <w:t>[2] Judicature – Hierarchy of courts – Doctrine of precedent – Whether High Court can hold differently</w:t>
      </w:r>
    </w:p>
    <w:p w:rsidR="00EB2CD8" w:rsidRDefault="00EB2CD8" w:rsidP="00EB2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from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Court of Appeal.</w:t>
      </w:r>
    </w:p>
    <w:p w:rsidR="00EB2CD8" w:rsidRDefault="00754B44" w:rsidP="00754B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754B44" w:rsidRDefault="00EB2CD8" w:rsidP="00754B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Omolo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JA</w:t>
      </w:r>
      <w:r>
        <w:rPr>
          <w:rFonts w:ascii="Times New Roman" w:hAnsi="Times New Roman" w:cs="Times New Roman"/>
          <w:color w:val="000000"/>
        </w:rPr>
        <w:t>: Following the last general elections held in Kenya, 27 December 2002, The Electoral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Commission of Kenya, the third respondent herein, vide (</w:t>
      </w:r>
      <w:r>
        <w:rPr>
          <w:rFonts w:ascii="Times New Roman" w:hAnsi="Times New Roman" w:cs="Times New Roman"/>
          <w:i/>
          <w:iCs/>
          <w:color w:val="000000"/>
        </w:rPr>
        <w:t>sic</w:t>
      </w:r>
      <w:r>
        <w:rPr>
          <w:rFonts w:ascii="Times New Roman" w:hAnsi="Times New Roman" w:cs="Times New Roman"/>
          <w:color w:val="000000"/>
        </w:rPr>
        <w:t>) Gazette Notice dated 3 January 2003,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declared Abu </w:t>
      </w:r>
      <w:proofErr w:type="spellStart"/>
      <w:r>
        <w:rPr>
          <w:rFonts w:ascii="Times New Roman" w:hAnsi="Times New Roman" w:cs="Times New Roman"/>
          <w:color w:val="000000"/>
        </w:rPr>
        <w:t>Chiaba</w:t>
      </w:r>
      <w:proofErr w:type="spellEnd"/>
      <w:r>
        <w:rPr>
          <w:rFonts w:ascii="Times New Roman" w:hAnsi="Times New Roman" w:cs="Times New Roman"/>
          <w:color w:val="000000"/>
        </w:rPr>
        <w:t xml:space="preserve"> Mohamed, the appellant herein, as the duly elected member of Parliament for </w:t>
      </w:r>
      <w:proofErr w:type="spellStart"/>
      <w:r>
        <w:rPr>
          <w:rFonts w:ascii="Times New Roman" w:hAnsi="Times New Roman" w:cs="Times New Roman"/>
          <w:color w:val="000000"/>
        </w:rPr>
        <w:t>Lamu</w:t>
      </w:r>
      <w:proofErr w:type="spellEnd"/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East Constituency in the Coast Province. The date of the declaration, namely 3 January 2003, is vital in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dispute before us because section 20(1)(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the National Assembly and Presidential Elections Act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Chapter 7 of the Laws of Kenya (“the Act” hereinafter) provides and I quote: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“A petition …</w:t>
      </w:r>
      <w:r w:rsidR="00754B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to question the validity of an election, shall be presented and served within twenty-eight days after the</w:t>
      </w:r>
      <w:r w:rsidR="00754B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date of publication of the result of the election in the Gazette . . .”</w:t>
      </w:r>
      <w:r w:rsidR="00754B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According to Election case number 3 of 2003 filed by Mohamed Bwana </w:t>
      </w:r>
      <w:proofErr w:type="spellStart"/>
      <w:r>
        <w:rPr>
          <w:rFonts w:ascii="Times New Roman" w:hAnsi="Times New Roman" w:cs="Times New Roman"/>
          <w:color w:val="000000"/>
        </w:rPr>
        <w:t>Bakari</w:t>
      </w:r>
      <w:proofErr w:type="spellEnd"/>
      <w:r>
        <w:rPr>
          <w:rFonts w:ascii="Times New Roman" w:hAnsi="Times New Roman" w:cs="Times New Roman"/>
          <w:color w:val="000000"/>
        </w:rPr>
        <w:t xml:space="preserve"> on 27 January 2003 at the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Mombasa High Court Registry, Mohamed Bwana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Bakari</w:t>
      </w:r>
      <w:proofErr w:type="spellEnd"/>
      <w:r>
        <w:rPr>
          <w:rFonts w:ascii="Times New Roman" w:hAnsi="Times New Roman" w:cs="Times New Roman"/>
          <w:color w:val="000000"/>
        </w:rPr>
        <w:t>, the first respondent herein, stated that he was a person who voted in a Parliamentary election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the Act and having stated so, he went on to enumerate various election malpractices which he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alleged took place before and during the election and as a result of the alleged malpractices, the first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respondent asked the High Court to declare the election in </w:t>
      </w:r>
      <w:proofErr w:type="spellStart"/>
      <w:r>
        <w:rPr>
          <w:rFonts w:ascii="Times New Roman" w:hAnsi="Times New Roman" w:cs="Times New Roman"/>
          <w:color w:val="000000"/>
        </w:rPr>
        <w:t>Lamu</w:t>
      </w:r>
      <w:proofErr w:type="spellEnd"/>
      <w:r>
        <w:rPr>
          <w:rFonts w:ascii="Times New Roman" w:hAnsi="Times New Roman" w:cs="Times New Roman"/>
          <w:color w:val="000000"/>
        </w:rPr>
        <w:t xml:space="preserve"> East Constituency to be null and void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to </w:t>
      </w:r>
      <w:proofErr w:type="spellStart"/>
      <w:r>
        <w:rPr>
          <w:rFonts w:ascii="Times New Roman" w:hAnsi="Times New Roman" w:cs="Times New Roman"/>
          <w:color w:val="000000"/>
        </w:rPr>
        <w:t>penalise</w:t>
      </w:r>
      <w:proofErr w:type="spellEnd"/>
      <w:r>
        <w:rPr>
          <w:rFonts w:ascii="Times New Roman" w:hAnsi="Times New Roman" w:cs="Times New Roman"/>
          <w:color w:val="000000"/>
        </w:rPr>
        <w:t xml:space="preserve"> the appellant with the costs of the petition.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Faced with the challenge to the validity of his election as the Member of Parliament for </w:t>
      </w:r>
      <w:proofErr w:type="spellStart"/>
      <w:r>
        <w:rPr>
          <w:rFonts w:ascii="Times New Roman" w:hAnsi="Times New Roman" w:cs="Times New Roman"/>
          <w:color w:val="000000"/>
        </w:rPr>
        <w:t>Lamu</w:t>
      </w:r>
      <w:proofErr w:type="spellEnd"/>
      <w:r>
        <w:rPr>
          <w:rFonts w:ascii="Times New Roman" w:hAnsi="Times New Roman" w:cs="Times New Roman"/>
          <w:color w:val="000000"/>
        </w:rPr>
        <w:t xml:space="preserve"> East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Constituency the appellant, on 18 March 2003, took out a notice on motion under section 20(1)(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the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Act, and the prayers sought in the motion were: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“1. That the petition herein be struck out on the ground that the same was not personally served on the first</w:t>
      </w:r>
      <w:r w:rsidR="00754B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respondent {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appellant} within 28 days after the date of the publication of the result of the</w:t>
      </w:r>
      <w:r w:rsidR="00754B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Parliamentary Election in the Kenya Gazette on 3 January 2003 or at all; and</w:t>
      </w:r>
      <w:r w:rsidR="00754B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2.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pending the hearing and determination of this application all proceedings herein be stayed; and</w:t>
      </w:r>
      <w:r w:rsidR="00754B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3.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petitioner 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first respondent) do pay the costs of the first respondent 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appellant) in</w:t>
      </w:r>
      <w:r w:rsidR="00754B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respect of the petition as well as of this application.”</w:t>
      </w:r>
      <w:r w:rsidR="00754B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notice of motion was supported by a short affidavit comprising of six paragraphs and sworn by the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and in that affidavit, the appellant stated as follows, and I set out the whole affidavit: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“I, Abu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Chiaba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Mohamed, of Post Office Box 59839, Nairobi, make oath and state as follows:</w:t>
      </w:r>
      <w:r w:rsidR="00754B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754B44" w:rsidRDefault="00EB2CD8" w:rsidP="00754B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1. </w:t>
      </w:r>
      <w:r w:rsidR="00754B44">
        <w:rPr>
          <w:rFonts w:ascii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I am the first respondent herein.</w:t>
      </w:r>
      <w:r w:rsidR="00754B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754B44" w:rsidRDefault="00EB2CD8" w:rsidP="00754B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2. </w:t>
      </w:r>
      <w:r w:rsidR="00754B44">
        <w:rPr>
          <w:rFonts w:ascii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a notice of the result of the 2002 Parliamentary Election, whereby I was declared to be duly</w:t>
      </w:r>
      <w:r w:rsidR="00754B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elected as member of Parliament for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Lamu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East Constituency, was published in the Gazette on 3</w:t>
      </w:r>
      <w:r w:rsidR="00754B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January 2003. I learnt of this fact from the local newspapers.</w:t>
      </w:r>
      <w:r w:rsidR="00754B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754B44" w:rsidRDefault="00EB2CD8" w:rsidP="00754B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3. </w:t>
      </w:r>
      <w:r w:rsidR="00754B44">
        <w:rPr>
          <w:rFonts w:ascii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I have not been personally served with the petition in this case, either within 28 days after the</w:t>
      </w:r>
      <w:r w:rsidR="00754B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date of the said publication as required by section 20(1)(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of the National Assembly and Presidential</w:t>
      </w:r>
      <w:r w:rsidR="00754B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Elections Act (Chapter 7) or at all.</w:t>
      </w:r>
      <w:r w:rsidR="00754B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754B44" w:rsidRDefault="00EB2CD8" w:rsidP="00754B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4. </w:t>
      </w:r>
      <w:r w:rsidR="00754B44">
        <w:rPr>
          <w:rFonts w:ascii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on 5 March 2003 I instructed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Messrs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Kilonzo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Company Advocates of Nairobi to act for me</w:t>
      </w:r>
      <w:r w:rsidR="00754B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 this matter and to obtain a copy of the petition at the High Court Registry.</w:t>
      </w:r>
      <w:r w:rsidR="00754B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754B44" w:rsidRDefault="00EB2CD8" w:rsidP="00754B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5. </w:t>
      </w:r>
      <w:r w:rsidR="00754B44">
        <w:rPr>
          <w:rFonts w:ascii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I am advised by my advocates, on record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Messrs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Kilonzo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Company Advocates which advice</w:t>
      </w:r>
      <w:r w:rsidR="00754B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 verily accept to be true and correct, that the petition herein should be struck out with costs on the</w:t>
      </w:r>
      <w:r w:rsidR="00754B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grounds that:</w:t>
      </w:r>
      <w:r w:rsidR="00754B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petition herein, the notice of presentation and all other accompanying notice and</w:t>
      </w:r>
      <w:r w:rsidR="00754B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documents were not served on me personally or at all within the statutory (28) days after the</w:t>
      </w:r>
      <w:r w:rsidR="00754B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gazettement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sic</w:t>
      </w:r>
      <w:r>
        <w:rPr>
          <w:rFonts w:ascii="Times New Roman" w:hAnsi="Times New Roman" w:cs="Times New Roman"/>
          <w:color w:val="000000"/>
          <w:sz w:val="20"/>
          <w:szCs w:val="20"/>
        </w:rPr>
        <w:t>) of the election in the Kenya Gazette on 3 January 2003;</w:t>
      </w:r>
      <w:r w:rsidR="00754B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W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ithout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service of the petition as above the same is of no legal consequence or at all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sic</w:t>
      </w:r>
      <w:r>
        <w:rPr>
          <w:rFonts w:ascii="Times New Roman" w:hAnsi="Times New Roman" w:cs="Times New Roman"/>
          <w:color w:val="000000"/>
          <w:sz w:val="20"/>
          <w:szCs w:val="20"/>
        </w:rPr>
        <w:t>) and</w:t>
      </w:r>
      <w:r w:rsidR="00754B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should be struck out with costs.</w:t>
      </w:r>
      <w:r w:rsidR="00754B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EB2CD8" w:rsidRDefault="00EB2CD8" w:rsidP="00754B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6. </w:t>
      </w:r>
      <w:r w:rsidR="00754B44">
        <w:rPr>
          <w:rFonts w:ascii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what I have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deponed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herein is true to the best of my knowledge save as to information and</w:t>
      </w:r>
      <w:r w:rsidR="00754B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believe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sic</w:t>
      </w:r>
      <w:r>
        <w:rPr>
          <w:rFonts w:ascii="Times New Roman" w:hAnsi="Times New Roman" w:cs="Times New Roman"/>
          <w:color w:val="000000"/>
          <w:sz w:val="20"/>
          <w:szCs w:val="20"/>
        </w:rPr>
        <w:t>) sources whereof I have disclosed.”</w:t>
      </w:r>
      <w:r w:rsidR="00754B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Perhaps this is now an appropriate place for me to set out the issue of personal service of an election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petition which the appellant made the basis for his motion to strike out the first respondent’s petition. In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case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Kibaki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Moi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[2000] 1 EA 115, this Court, consisting of a bench of five judges, held that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following the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amendments to section 20 of the Act which amendments were brought in by the Statute Law (Repeals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Miscellaneous Amendments) Act of 1997, </w:t>
      </w:r>
      <w:proofErr w:type="spellStart"/>
      <w:r>
        <w:rPr>
          <w:rFonts w:ascii="Times New Roman" w:hAnsi="Times New Roman" w:cs="Times New Roman"/>
          <w:color w:val="000000"/>
        </w:rPr>
        <w:t>ie</w:t>
      </w:r>
      <w:proofErr w:type="spellEnd"/>
      <w:r>
        <w:rPr>
          <w:rFonts w:ascii="Times New Roman" w:hAnsi="Times New Roman" w:cs="Times New Roman"/>
          <w:color w:val="000000"/>
        </w:rPr>
        <w:t xml:space="preserve"> Act number 10 of 1997, the only way of serving an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election petition was by way of personal service. The basis for that decision was fully set out in the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judgment and I need not repeat them. In the present appeal, we were asked to overrule the decision in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Kibaki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Moi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). I will answer that contention in due course.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Faced with the motion to strike out his petition, the first respondent swore a replying affidavit, of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some twenty two paragraphs, and in that affidavit he set out in detail, the efforts his lawyers had made in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 to serve the appellant personally. Right from paragraph 5 of the first respondent’s replying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affidavit, he sets out how he knew that the appellant was residing in house number 12 along Ole </w:t>
      </w:r>
      <w:proofErr w:type="spellStart"/>
      <w:r>
        <w:rPr>
          <w:rFonts w:ascii="Times New Roman" w:hAnsi="Times New Roman" w:cs="Times New Roman"/>
          <w:color w:val="000000"/>
        </w:rPr>
        <w:t>Shapara</w:t>
      </w:r>
      <w:proofErr w:type="spellEnd"/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Avenue Nairobi, South ‘C’ Area and that he passed that information to his legal advisers to enable them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serve the appellant personally, obviously in order to comply with the decision of the court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Kibaki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</w:t>
      </w:r>
      <w:r w:rsidR="00754B44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Moi</w:t>
      </w:r>
      <w:proofErr w:type="spellEnd"/>
      <w:r>
        <w:rPr>
          <w:rFonts w:ascii="Times New Roman" w:hAnsi="Times New Roman" w:cs="Times New Roman"/>
          <w:color w:val="000000"/>
        </w:rPr>
        <w:t xml:space="preserve">. That his legal advisers sent a process server, </w:t>
      </w:r>
      <w:proofErr w:type="spellStart"/>
      <w:r>
        <w:rPr>
          <w:rFonts w:ascii="Times New Roman" w:hAnsi="Times New Roman" w:cs="Times New Roman"/>
          <w:color w:val="000000"/>
        </w:rPr>
        <w:t>Mwangi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Kabaria</w:t>
      </w:r>
      <w:proofErr w:type="spellEnd"/>
      <w:r>
        <w:rPr>
          <w:rFonts w:ascii="Times New Roman" w:hAnsi="Times New Roman" w:cs="Times New Roman"/>
          <w:color w:val="000000"/>
        </w:rPr>
        <w:t>, to serve the appellant at the known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residence, how </w:t>
      </w:r>
      <w:proofErr w:type="spellStart"/>
      <w:r>
        <w:rPr>
          <w:rFonts w:ascii="Times New Roman" w:hAnsi="Times New Roman" w:cs="Times New Roman"/>
          <w:color w:val="000000"/>
        </w:rPr>
        <w:t>Mwangi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Kabaria</w:t>
      </w:r>
      <w:proofErr w:type="spellEnd"/>
      <w:r>
        <w:rPr>
          <w:rFonts w:ascii="Times New Roman" w:hAnsi="Times New Roman" w:cs="Times New Roman"/>
          <w:color w:val="000000"/>
        </w:rPr>
        <w:t xml:space="preserve"> visited house number 12 on 28 January 2003, how a grandson of the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appellant named Jamal </w:t>
      </w:r>
      <w:proofErr w:type="spellStart"/>
      <w:r>
        <w:rPr>
          <w:rFonts w:ascii="Times New Roman" w:hAnsi="Times New Roman" w:cs="Times New Roman"/>
          <w:color w:val="000000"/>
        </w:rPr>
        <w:t>Domilla</w:t>
      </w:r>
      <w:proofErr w:type="spellEnd"/>
      <w:r>
        <w:rPr>
          <w:rFonts w:ascii="Times New Roman" w:hAnsi="Times New Roman" w:cs="Times New Roman"/>
          <w:color w:val="000000"/>
        </w:rPr>
        <w:t xml:space="preserve"> and a watchman known as Mohamed Omar Ali Rotich were found there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told the process server that the appellant had gone to Saudi Arabia. It was then suspected that the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was hiding in order to evade service (paragraph 8) and that it was thought prudent to go and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look for him at his Mombasa residence; that an advocate called William </w:t>
      </w:r>
      <w:proofErr w:type="spellStart"/>
      <w:r>
        <w:rPr>
          <w:rFonts w:ascii="Times New Roman" w:hAnsi="Times New Roman" w:cs="Times New Roman"/>
          <w:color w:val="000000"/>
        </w:rPr>
        <w:t>Mogaka</w:t>
      </w:r>
      <w:proofErr w:type="spellEnd"/>
      <w:r>
        <w:rPr>
          <w:rFonts w:ascii="Times New Roman" w:hAnsi="Times New Roman" w:cs="Times New Roman"/>
          <w:color w:val="000000"/>
        </w:rPr>
        <w:t xml:space="preserve"> of Mombasa in the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company of another process server Alexander </w:t>
      </w:r>
      <w:proofErr w:type="spellStart"/>
      <w:r>
        <w:rPr>
          <w:rFonts w:ascii="Times New Roman" w:hAnsi="Times New Roman" w:cs="Times New Roman"/>
          <w:color w:val="000000"/>
        </w:rPr>
        <w:t>Kaluve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Musembi</w:t>
      </w:r>
      <w:proofErr w:type="spellEnd"/>
      <w:r>
        <w:rPr>
          <w:rFonts w:ascii="Times New Roman" w:hAnsi="Times New Roman" w:cs="Times New Roman"/>
          <w:color w:val="000000"/>
        </w:rPr>
        <w:t xml:space="preserve"> went to the appellant’s residence in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Mombasa to personally serve him. This was still on 28 January 2003. The process server was denied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entry into the premises in Mombasa and when enquiries were made as to the whereabouts of the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appellant, the advocate and the process server were told that the appellant was away in Nairobi. Attempts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then made to determine the whereabouts of the appellant and the first respondent learnt that the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was in Nairobi and that he had not travelled to Saudi Arabia. The information was passed to the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first respondent’s lawyers and on the same day, the lawyers sent documents by registered post to the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appellant’s last known postal address. On 29 January 2003, Joseph </w:t>
      </w:r>
      <w:proofErr w:type="spellStart"/>
      <w:r>
        <w:rPr>
          <w:rFonts w:ascii="Times New Roman" w:hAnsi="Times New Roman" w:cs="Times New Roman"/>
          <w:color w:val="000000"/>
        </w:rPr>
        <w:t>Mwangi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Kabaria</w:t>
      </w:r>
      <w:proofErr w:type="spellEnd"/>
      <w:r>
        <w:rPr>
          <w:rFonts w:ascii="Times New Roman" w:hAnsi="Times New Roman" w:cs="Times New Roman"/>
          <w:color w:val="000000"/>
        </w:rPr>
        <w:t xml:space="preserve"> again visited the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appellant’s South ‘C’ residence; on 30 January 2003 the first respondent, again accompanied William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Mogaka</w:t>
      </w:r>
      <w:proofErr w:type="spellEnd"/>
      <w:r>
        <w:rPr>
          <w:rFonts w:ascii="Times New Roman" w:hAnsi="Times New Roman" w:cs="Times New Roman"/>
          <w:color w:val="000000"/>
        </w:rPr>
        <w:t xml:space="preserve"> and Alexander </w:t>
      </w:r>
      <w:proofErr w:type="spellStart"/>
      <w:r>
        <w:rPr>
          <w:rFonts w:ascii="Times New Roman" w:hAnsi="Times New Roman" w:cs="Times New Roman"/>
          <w:color w:val="000000"/>
        </w:rPr>
        <w:t>Kaluve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Musembi</w:t>
      </w:r>
      <w:proofErr w:type="spellEnd"/>
      <w:r>
        <w:rPr>
          <w:rFonts w:ascii="Times New Roman" w:hAnsi="Times New Roman" w:cs="Times New Roman"/>
          <w:color w:val="000000"/>
        </w:rPr>
        <w:t>, went to the appellant’s residence in Mombasa and on arrival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they met a lady who was identified by a watchman as the appellant’s wife and who drove off from the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premises without acknowledging </w:t>
      </w:r>
      <w:proofErr w:type="spellStart"/>
      <w:r>
        <w:rPr>
          <w:rFonts w:ascii="Times New Roman" w:hAnsi="Times New Roman" w:cs="Times New Roman"/>
          <w:color w:val="000000"/>
        </w:rPr>
        <w:t>Musembi’s</w:t>
      </w:r>
      <w:proofErr w:type="spellEnd"/>
      <w:r>
        <w:rPr>
          <w:rFonts w:ascii="Times New Roman" w:hAnsi="Times New Roman" w:cs="Times New Roman"/>
          <w:color w:val="000000"/>
        </w:rPr>
        <w:t xml:space="preserve"> attempts to explain the purpose of the visit. </w:t>
      </w:r>
      <w:proofErr w:type="spellStart"/>
      <w:r>
        <w:rPr>
          <w:rFonts w:ascii="Times New Roman" w:hAnsi="Times New Roman" w:cs="Times New Roman"/>
          <w:color w:val="000000"/>
        </w:rPr>
        <w:t>Musembi</w:t>
      </w:r>
      <w:proofErr w:type="spellEnd"/>
      <w:r>
        <w:rPr>
          <w:rFonts w:ascii="Times New Roman" w:hAnsi="Times New Roman" w:cs="Times New Roman"/>
          <w:color w:val="000000"/>
        </w:rPr>
        <w:t xml:space="preserve"> then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pinned the documents, intended to be served on the appellant, on the gate to the appellant’s premises and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photographs showing this happening were attached to the replying affidavit.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Moses </w:t>
      </w:r>
      <w:proofErr w:type="spellStart"/>
      <w:r>
        <w:rPr>
          <w:rFonts w:ascii="Times New Roman" w:hAnsi="Times New Roman" w:cs="Times New Roman"/>
          <w:color w:val="000000"/>
        </w:rPr>
        <w:t>Gitau</w:t>
      </w:r>
      <w:proofErr w:type="spellEnd"/>
      <w:r>
        <w:rPr>
          <w:rFonts w:ascii="Times New Roman" w:hAnsi="Times New Roman" w:cs="Times New Roman"/>
          <w:color w:val="000000"/>
        </w:rPr>
        <w:t>, who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argued the first respondent’s appeal before us, also had published in the Gazette the filing of the petition.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was after the attempts to personally serve the appellant had failed. There were also affidavits of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service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Moses </w:t>
      </w:r>
      <w:proofErr w:type="spellStart"/>
      <w:r>
        <w:rPr>
          <w:rFonts w:ascii="Times New Roman" w:hAnsi="Times New Roman" w:cs="Times New Roman"/>
          <w:color w:val="000000"/>
        </w:rPr>
        <w:t>Gitau</w:t>
      </w:r>
      <w:proofErr w:type="spellEnd"/>
      <w:r>
        <w:rPr>
          <w:rFonts w:ascii="Times New Roman" w:hAnsi="Times New Roman" w:cs="Times New Roman"/>
          <w:color w:val="000000"/>
        </w:rPr>
        <w:t xml:space="preserve"> and Alexander </w:t>
      </w:r>
      <w:proofErr w:type="spellStart"/>
      <w:r>
        <w:rPr>
          <w:rFonts w:ascii="Times New Roman" w:hAnsi="Times New Roman" w:cs="Times New Roman"/>
          <w:color w:val="000000"/>
        </w:rPr>
        <w:t>Kaluve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Musembi</w:t>
      </w:r>
      <w:proofErr w:type="spellEnd"/>
      <w:r>
        <w:rPr>
          <w:rFonts w:ascii="Times New Roman" w:hAnsi="Times New Roman" w:cs="Times New Roman"/>
          <w:color w:val="000000"/>
        </w:rPr>
        <w:t>. All these affidavits were served upon the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appellant’s advocates and had the appellant been minded to contest the veracity of their contents, he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could have done so. The appellant did nothing of the kind. All that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Mutula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Kilonzo</w:t>
      </w:r>
      <w:proofErr w:type="spellEnd"/>
      <w:r>
        <w:rPr>
          <w:rFonts w:ascii="Times New Roman" w:hAnsi="Times New Roman" w:cs="Times New Roman"/>
          <w:color w:val="000000"/>
        </w:rPr>
        <w:t xml:space="preserve"> Junior did on his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behalf was to contend before us that all the allegations made in the affidavits show that the appellant was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personally served and that, therefore, the trial judge was wrong to hold that he had been properly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served according to the law. Because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thought the judge was wrong in holding that he had been properly served and thus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dismissing his motion to strike out the petition, he now appeals to this Court.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Now, the first respondent brought before the trial judge the efforts that he and his legal advisers had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made in an attempt to personally serve the appellant and thus comply with the law as laid down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Kibaki</w:t>
      </w:r>
      <w:proofErr w:type="spellEnd"/>
      <w:r w:rsidR="00754B44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Moi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). Of course the learned Judge of the High Court would have no jurisdiction to overrule a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decision of this Court even if she disagrees with the decision and the comments in her judgment must be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ignored as having been made without jurisdiction and in violation of the </w:t>
      </w:r>
      <w:proofErr w:type="spellStart"/>
      <w:r>
        <w:rPr>
          <w:rFonts w:ascii="Times New Roman" w:hAnsi="Times New Roman" w:cs="Times New Roman"/>
          <w:color w:val="000000"/>
        </w:rPr>
        <w:t>well known</w:t>
      </w:r>
      <w:proofErr w:type="spellEnd"/>
      <w:r>
        <w:rPr>
          <w:rFonts w:ascii="Times New Roman" w:hAnsi="Times New Roman" w:cs="Times New Roman"/>
          <w:color w:val="000000"/>
        </w:rPr>
        <w:t xml:space="preserve"> doctrine of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precedent. I would respectfully point out to the learned Judge that like all other judges in her position,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the doctrine of precedent, she is bound by the decisions of this Court even if she may not approve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a particular decision and any attempts to overrule or side step the court’s decision can only result in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unnecessary costs to the parties involved in the litigation. I go back to </w:t>
      </w:r>
      <w:r>
        <w:rPr>
          <w:rFonts w:ascii="Times New Roman" w:hAnsi="Times New Roman" w:cs="Times New Roman"/>
          <w:color w:val="000000"/>
        </w:rPr>
        <w:lastRenderedPageBreak/>
        <w:t>the facts as presented before the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trial court.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first respondent mentioned two places where he knew the appellant to be residing. He mentioned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house number 12 in Nairobi South ‘C’. He also mentioned the names of two people, the grandson Jamal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Domilla</w:t>
      </w:r>
      <w:proofErr w:type="spellEnd"/>
      <w:r>
        <w:rPr>
          <w:rFonts w:ascii="Times New Roman" w:hAnsi="Times New Roman" w:cs="Times New Roman"/>
          <w:color w:val="000000"/>
        </w:rPr>
        <w:t xml:space="preserve"> and the watchman Mohamed Omar Ali Rotich; those two are stated to have told the process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server that the appellant was in Saudi Arabia. The appellant, as we have seen, chose not to say anything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those matters. He, for example, did not say that he did not own house number 12 along Ole </w:t>
      </w:r>
      <w:proofErr w:type="spellStart"/>
      <w:r>
        <w:rPr>
          <w:rFonts w:ascii="Times New Roman" w:hAnsi="Times New Roman" w:cs="Times New Roman"/>
          <w:color w:val="000000"/>
        </w:rPr>
        <w:t>Shapara</w:t>
      </w:r>
      <w:proofErr w:type="spellEnd"/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Road, Nairobi South ‘C’; he did not say that he has no grandson known as Jamal </w:t>
      </w:r>
      <w:proofErr w:type="spellStart"/>
      <w:r>
        <w:rPr>
          <w:rFonts w:ascii="Times New Roman" w:hAnsi="Times New Roman" w:cs="Times New Roman"/>
          <w:color w:val="000000"/>
        </w:rPr>
        <w:t>Domilla</w:t>
      </w:r>
      <w:proofErr w:type="spellEnd"/>
      <w:r>
        <w:rPr>
          <w:rFonts w:ascii="Times New Roman" w:hAnsi="Times New Roman" w:cs="Times New Roman"/>
          <w:color w:val="000000"/>
        </w:rPr>
        <w:t xml:space="preserve"> or a watchman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called Mohamed Omar Ali Rotich. These people told the process server that the appellant was in Saudi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Arabia. Those intending to serve the appellant have sworn that they suspected the appellant was hiding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them in order to avoid being personally served, that led to the party intending to personally serve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him to move to Mombasa. The appellant, if it was true that he was in Saudi Arabia, could have proved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fact by producing a copy of his passport. He did nothing of the kind. Then the search moved to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Mombasa and once again, the appellant did not say he had no house in Mombasa and that he knew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nothing about the gate on which the documents to be served on him were pasted. A woman identified as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his wife was found there and refused to talk to the party intending to effect service. The appellant chose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say absolutely nothing about these matters. On the contrary, he swears that he had instructed his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lawyers on 5 March 2003 without disclosing how he learned about the existence of the petition filed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against his election.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think that on the material placed before the trial judge, any reasonable tribunal would be fully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justified in concluding, as those who wanted to effect service upon the appellant did, that the appellant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gone underground with the sole purpose of evading personal service and that was why he could not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found in his two houses in Nairobi and Mombasa. Put simply, he was hiding from those who intended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effect personal service upon him.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Did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Kibaki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Moi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establish any proposition that even where it be proved that a party was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hiding with the sole purpose of avoiding personal service, yet such a party must still be personally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served? The decision established nothing of the kind. At 37 of the judgment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Kibaki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Moi</w:t>
      </w:r>
      <w:proofErr w:type="spellEnd"/>
      <w:r>
        <w:rPr>
          <w:rFonts w:ascii="Times New Roman" w:hAnsi="Times New Roman" w:cs="Times New Roman"/>
          <w:color w:val="000000"/>
        </w:rPr>
        <w:t>, 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the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stated: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“. . . Section 20(1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of the Act does not prescribe any mode of service and in those circumstances, the courts</w:t>
      </w:r>
      <w:r w:rsidR="00754B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must go for the best form of service which is personal service. Before this Court, the appellant did not offer</w:t>
      </w:r>
      <w:r w:rsidR="00754B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any reason why he did not go for</w:t>
      </w:r>
      <w:r w:rsidR="00754B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personal service though in the High Court, it had been contended that the first respondent in his capacity as</w:t>
      </w:r>
      <w:r w:rsidR="00754B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President, is surrounded by a massive ring of security which it is not possible to penetrate. But as the</w:t>
      </w:r>
      <w:r w:rsidR="00754B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judges of the High Court correctly pointed out no effort to serve the first respondent was made and repelled</w:t>
      </w:r>
      <w:r w:rsidR="00754B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…”</w:t>
      </w:r>
      <w:r w:rsidR="00754B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decision clearly </w:t>
      </w:r>
      <w:proofErr w:type="spellStart"/>
      <w:r>
        <w:rPr>
          <w:rFonts w:ascii="Times New Roman" w:hAnsi="Times New Roman" w:cs="Times New Roman"/>
          <w:color w:val="000000"/>
        </w:rPr>
        <w:t>recognised</w:t>
      </w:r>
      <w:proofErr w:type="spellEnd"/>
      <w:r>
        <w:rPr>
          <w:rFonts w:ascii="Times New Roman" w:hAnsi="Times New Roman" w:cs="Times New Roman"/>
          <w:color w:val="000000"/>
        </w:rPr>
        <w:t xml:space="preserve"> that if personal service, which is the best form of service in all areas of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litigation, is not possible, other forms may be resorted to. Otherwise, why would the court have expected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be given reason or reasons why personal service was not effected? Why would the High Court and this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have expected that some attempt at personal service be tried on the President and be shown to have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been repelled?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Lady Justice </w:t>
      </w:r>
      <w:proofErr w:type="spellStart"/>
      <w:r>
        <w:rPr>
          <w:rFonts w:ascii="Times New Roman" w:hAnsi="Times New Roman" w:cs="Times New Roman"/>
          <w:color w:val="000000"/>
        </w:rPr>
        <w:t>Khaminwa</w:t>
      </w:r>
      <w:proofErr w:type="spellEnd"/>
      <w:r>
        <w:rPr>
          <w:rFonts w:ascii="Times New Roman" w:hAnsi="Times New Roman" w:cs="Times New Roman"/>
          <w:color w:val="000000"/>
        </w:rPr>
        <w:t xml:space="preserve"> clearly </w:t>
      </w:r>
      <w:proofErr w:type="spellStart"/>
      <w:r>
        <w:rPr>
          <w:rFonts w:ascii="Times New Roman" w:hAnsi="Times New Roman" w:cs="Times New Roman"/>
          <w:color w:val="000000"/>
        </w:rPr>
        <w:t>recognised</w:t>
      </w:r>
      <w:proofErr w:type="spellEnd"/>
      <w:r>
        <w:rPr>
          <w:rFonts w:ascii="Times New Roman" w:hAnsi="Times New Roman" w:cs="Times New Roman"/>
          <w:color w:val="000000"/>
        </w:rPr>
        <w:t xml:space="preserve"> this aspect of the decision for she stated in her judgment at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135 of the record of appeal: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“In the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Kibaki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–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Moi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case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supra</w:t>
      </w:r>
      <w:r>
        <w:rPr>
          <w:rFonts w:ascii="Times New Roman" w:hAnsi="Times New Roman" w:cs="Times New Roman"/>
          <w:color w:val="000000"/>
          <w:sz w:val="20"/>
          <w:szCs w:val="20"/>
        </w:rPr>
        <w:t>) the respondent stated on oath that he was not personally served with the</w:t>
      </w:r>
      <w:r w:rsidR="00754B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Notice of Petition either within 28 days after the date of publication of the result of the petitions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sic</w:t>
      </w:r>
      <w:r>
        <w:rPr>
          <w:rFonts w:ascii="Times New Roman" w:hAnsi="Times New Roman" w:cs="Times New Roman"/>
          <w:color w:val="000000"/>
          <w:sz w:val="20"/>
          <w:szCs w:val="20"/>
        </w:rPr>
        <w:t>) as</w:t>
      </w:r>
      <w:r w:rsidR="00754B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required by section 20(1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of the Act at all. However, it was shown that the petition was served through the</w:t>
      </w:r>
      <w:r w:rsidR="00754B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Gazette Notice as provided under rule 14(2). The facts are different in that case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sic</w:t>
      </w:r>
      <w:r>
        <w:rPr>
          <w:rFonts w:ascii="Times New Roman" w:hAnsi="Times New Roman" w:cs="Times New Roman"/>
          <w:color w:val="000000"/>
          <w:sz w:val="20"/>
          <w:szCs w:val="20"/>
        </w:rPr>
        <w:t>) made no effort to</w:t>
      </w:r>
      <w:r w:rsidR="00754B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personally serve the respondent. In this case, alternative methods were made to bring the notice to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sic</w:t>
      </w:r>
      <w:r>
        <w:rPr>
          <w:rFonts w:ascii="Times New Roman" w:hAnsi="Times New Roman" w:cs="Times New Roman"/>
          <w:color w:val="000000"/>
          <w:sz w:val="20"/>
          <w:szCs w:val="20"/>
        </w:rPr>
        <w:t>) of the</w:t>
      </w:r>
      <w:r w:rsidR="00754B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petition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sic</w:t>
      </w:r>
      <w:r>
        <w:rPr>
          <w:rFonts w:ascii="Times New Roman" w:hAnsi="Times New Roman" w:cs="Times New Roman"/>
          <w:color w:val="000000"/>
          <w:sz w:val="20"/>
          <w:szCs w:val="20"/>
        </w:rPr>
        <w:t>) of the respondent knowledge but personal service proved impossible.”</w:t>
      </w:r>
      <w:r w:rsidR="00754B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truth of the matter is that personal service remains the best form of service in all areas of litigation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to say that members of Parliament are a different breed of people and different rules must apply to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them as opposed to those applicable to other Kenyans cannot support the principle of equality before the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law.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the appeal before us, unlike in the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Kibaki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Moi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), the first respondent and his lawyers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made strenuous and concerted efforts to personally serve the appellant; they proved the efforts they had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made to personally serve him but they were unable to physically get hold of him and serve him because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was hiding from them. Can the appellant now be allowed to, in effect tell courts: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 knew the first respondent was looking for me to personally serve me. I also knew that as per the decision in</w:t>
      </w:r>
      <w:r w:rsidR="00754B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Kibaki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Moi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supra</w:t>
      </w:r>
      <w:r>
        <w:rPr>
          <w:rFonts w:ascii="Times New Roman" w:hAnsi="Times New Roman" w:cs="Times New Roman"/>
          <w:color w:val="000000"/>
          <w:sz w:val="20"/>
          <w:szCs w:val="20"/>
        </w:rPr>
        <w:t>) he had to personally serve me or his petition would be of no legal consequence. With</w:t>
      </w:r>
      <w:r w:rsidR="00754B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this knowledge, I hid myself from them so that it was impossible for them to find me, in order to effect</w:t>
      </w:r>
      <w:r w:rsidR="00754B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personal service on me. I was successful in hiding from them and they were accordingly unable to serve me. I</w:t>
      </w:r>
      <w:r w:rsidR="00754B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now ask you (the court) to strike out his petition as being of no legal consequence as it was not personally</w:t>
      </w:r>
      <w:r w:rsidR="00754B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served on me.”</w:t>
      </w:r>
      <w:r w:rsidR="00754B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 know that the law has often been said to be an ass. But I equally know that the law cannot be such an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ass that it would even forget its other </w:t>
      </w:r>
      <w:proofErr w:type="spellStart"/>
      <w:r>
        <w:rPr>
          <w:rFonts w:ascii="Times New Roman" w:hAnsi="Times New Roman" w:cs="Times New Roman"/>
          <w:color w:val="000000"/>
        </w:rPr>
        <w:t>well known</w:t>
      </w:r>
      <w:proofErr w:type="spellEnd"/>
      <w:r>
        <w:rPr>
          <w:rFonts w:ascii="Times New Roman" w:hAnsi="Times New Roman" w:cs="Times New Roman"/>
          <w:color w:val="000000"/>
        </w:rPr>
        <w:t xml:space="preserve"> principle, </w:t>
      </w:r>
      <w:r>
        <w:rPr>
          <w:rFonts w:ascii="Times New Roman" w:hAnsi="Times New Roman" w:cs="Times New Roman"/>
          <w:color w:val="000000"/>
        </w:rPr>
        <w:lastRenderedPageBreak/>
        <w:t>namely that no man can be allowed to rely on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his own wrong to defeat the otherwise valid claim of another man. Put simply, the appellant in this case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cannot be allowed to rely on his having successfully hidden himself from the attempts of the first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to personally serve him to defeat the first respondent’s petition challenging the validity of his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election as member of Parliament for </w:t>
      </w:r>
      <w:proofErr w:type="spellStart"/>
      <w:r>
        <w:rPr>
          <w:rFonts w:ascii="Times New Roman" w:hAnsi="Times New Roman" w:cs="Times New Roman"/>
          <w:color w:val="000000"/>
        </w:rPr>
        <w:t>Lamu</w:t>
      </w:r>
      <w:proofErr w:type="spellEnd"/>
      <w:r>
        <w:rPr>
          <w:rFonts w:ascii="Times New Roman" w:hAnsi="Times New Roman" w:cs="Times New Roman"/>
          <w:color w:val="000000"/>
        </w:rPr>
        <w:t xml:space="preserve"> East Constituency. The effort made by the first respondent to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personally serve him amounted to personal service on him and the learned trial Judge was right in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holding that he had been served. He made it impossible for the first respondent and his agents to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physically get hold of him and personally hand over the documents to him, but as I have said, he cannot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allowed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take advantage of his own wrong in hiding from those wanting to serve him and defeat the claim of the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first respondent on that basis.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Should the decision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Kibaki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Moi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be overruled?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think there is no occasion for me to do so in this appeal even if I were minded to do so (</w:t>
      </w:r>
      <w:r>
        <w:rPr>
          <w:rFonts w:ascii="Times New Roman" w:hAnsi="Times New Roman" w:cs="Times New Roman"/>
          <w:i/>
          <w:iCs/>
          <w:color w:val="000000"/>
        </w:rPr>
        <w:t>sic</w:t>
      </w:r>
      <w:r>
        <w:rPr>
          <w:rFonts w:ascii="Times New Roman" w:hAnsi="Times New Roman" w:cs="Times New Roman"/>
          <w:color w:val="000000"/>
        </w:rPr>
        <w:t>). I would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myself decline to overrule the decision for several reasons.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First, as I have said,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Kibaki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Moi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did not establish any principle that even where it is proved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party to be served evaded service by hiding himself, or used physical force to prevent personal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service or took refuge in a place where service of documents is not permissible, such as the House of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Parliament, or used such other subterfuge to avoid being personally served, such a party must still be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served or else the petition would be struck out. The law will not, and cannot, permit such a party to rely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his own wrong to defeat an otherwise valid petition.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Secondly, I have held as a fact, and the learned trial Judge did </w:t>
      </w:r>
      <w:proofErr w:type="spellStart"/>
      <w:r>
        <w:rPr>
          <w:rFonts w:ascii="Times New Roman" w:hAnsi="Times New Roman" w:cs="Times New Roman"/>
          <w:color w:val="000000"/>
        </w:rPr>
        <w:t>recognise</w:t>
      </w:r>
      <w:proofErr w:type="spellEnd"/>
      <w:r>
        <w:rPr>
          <w:rFonts w:ascii="Times New Roman" w:hAnsi="Times New Roman" w:cs="Times New Roman"/>
          <w:color w:val="000000"/>
        </w:rPr>
        <w:t xml:space="preserve"> that fact, that the appellant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served through alternative means after he had made it impossible for the first respondent and his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agents to physically hand the documents to him in person. Having found as a fact that the appellant was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personally served as required by the decision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Kibaki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Moi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), anything else I say on the case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would merely be treated as </w:t>
      </w:r>
      <w:r>
        <w:rPr>
          <w:rFonts w:ascii="Times New Roman" w:hAnsi="Times New Roman" w:cs="Times New Roman"/>
          <w:i/>
          <w:iCs/>
          <w:color w:val="000000"/>
        </w:rPr>
        <w:t>obiter</w:t>
      </w:r>
      <w:r>
        <w:rPr>
          <w:rFonts w:ascii="Times New Roman" w:hAnsi="Times New Roman" w:cs="Times New Roman"/>
          <w:color w:val="000000"/>
        </w:rPr>
        <w:t>.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Thirdly, Parliament appears to have taken the matter in its own hand and will be dealing with it in due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course. The published “The Statue Law (Miscellaneous Amendments) Bill”, 2005, proposes in the First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Schedule thereof, the amendment of section 20(1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the Act by deleting the words “and served”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whenever they appear in paragraphs 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and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of the section. If the proposed amendment goes through,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shall revert to the old position which obtained before the passing of Act number 10 of 1997 to which I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already referred. It was the introduction of the words “and served” in the section which precipitated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decision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Kibaki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Moi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and if those words are removed there will be no further problem. For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these reasons, I see no necessity to consider the issue of whether or not to overrule the decision and I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myself decline the invitation to do so.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only other issue I wish to touch on, briefly, is the learned Judge’s holding that it would be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unconstitutional to strike out an election petition without hearing it on merit. The provisions of section 44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the Constitution provide for the court, where elections petitions are to be lodged, </w:t>
      </w:r>
      <w:proofErr w:type="spellStart"/>
      <w:r>
        <w:rPr>
          <w:rFonts w:ascii="Times New Roman" w:hAnsi="Times New Roman" w:cs="Times New Roman"/>
          <w:color w:val="000000"/>
        </w:rPr>
        <w:t>ie</w:t>
      </w:r>
      <w:proofErr w:type="spellEnd"/>
      <w:r>
        <w:rPr>
          <w:rFonts w:ascii="Times New Roman" w:hAnsi="Times New Roman" w:cs="Times New Roman"/>
          <w:color w:val="000000"/>
        </w:rPr>
        <w:t xml:space="preserve"> the High Court,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person or persons, who may lodge a petition, and in section 44(4) it is specifically provided: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“Parliament may make provision with respect to:</w:t>
      </w:r>
      <w:r w:rsidR="00754B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the circumstances and manner in which, the time within which and the conditions upon which an</w:t>
      </w:r>
      <w:r w:rsidR="00754B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application may be made to the High Court for the determination of a question under this section; and</w:t>
      </w:r>
      <w:r w:rsidR="00754B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the power, practice and procedure of the High Court in relation to the application.”</w:t>
      </w:r>
      <w:r w:rsidR="00754B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Act, </w:t>
      </w:r>
      <w:proofErr w:type="spellStart"/>
      <w:r>
        <w:rPr>
          <w:rFonts w:ascii="Times New Roman" w:hAnsi="Times New Roman" w:cs="Times New Roman"/>
          <w:color w:val="000000"/>
        </w:rPr>
        <w:t>ie</w:t>
      </w:r>
      <w:proofErr w:type="spellEnd"/>
      <w:r>
        <w:rPr>
          <w:rFonts w:ascii="Times New Roman" w:hAnsi="Times New Roman" w:cs="Times New Roman"/>
          <w:color w:val="000000"/>
        </w:rPr>
        <w:t xml:space="preserve"> the National Assembly and Presidential Elections Act, is obviously made pursuant to section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44(4) of the Constitution. The Act provides that an election petition shall be filed and served within 28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days. Surely the learned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Judge cannot be saying that the High Court would be acting unconstitutionally if it were to strike out a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petition filed some three months from the date of publication of an election result in the Kenya Gazette.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respect to the learned Judge there is nothing unconstitutional in striking out an incompetent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petition.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various advocates, who appeared before us for the respective parties, cited to us numerous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authorities, touching on various aspects of the matter.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am grateful to them for their research and diligence. I, however, have not found it necessary to use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those authorities because in my view the authorities did not deal with the issue of what constitutes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personal service. Most of them were directed at showing us that the decision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Kibaki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Moi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was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wrong and, therefore, ought to be overruled. For reasons, already stated, I have declined the invitation to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overrule the decision. It is not out of disrespect to the respective learned Counsel that I have not found it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necessary to deal with the authorities they cited.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Nor have I found it necessary to deal with the individual grounds of appeal contained in the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appellant’s memorandum of appeal. The appellant’s principal complaint was that he was not personally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served with the notice of </w:t>
      </w:r>
      <w:proofErr w:type="spellStart"/>
      <w:r>
        <w:rPr>
          <w:rFonts w:ascii="Times New Roman" w:hAnsi="Times New Roman" w:cs="Times New Roman"/>
          <w:color w:val="000000"/>
        </w:rPr>
        <w:t>lodgement</w:t>
      </w:r>
      <w:proofErr w:type="spellEnd"/>
      <w:r>
        <w:rPr>
          <w:rFonts w:ascii="Times New Roman" w:hAnsi="Times New Roman" w:cs="Times New Roman"/>
          <w:color w:val="000000"/>
        </w:rPr>
        <w:t xml:space="preserve"> of the petition and the petition itself contrary to the decision in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Kibaki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Moi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). All the grounds revolved around that issue. I have determined the issue and that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lastRenderedPageBreak/>
        <w:t>determination covers all the individual grounds listed in the memorandum of appeal.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have said enough, I think, to show that I am not for allowing this appeal. Accordingly, I would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propose that the appeal be dismissed with costs to the respondents named in the appeal. As the court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agrees, those shall be the orders of the court.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Githinji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JA: </w:t>
      </w:r>
      <w:r>
        <w:rPr>
          <w:rFonts w:ascii="Times New Roman" w:hAnsi="Times New Roman" w:cs="Times New Roman"/>
          <w:color w:val="000000"/>
        </w:rPr>
        <w:t>This is an appeal from the ruling of the superior court (</w:t>
      </w:r>
      <w:proofErr w:type="spellStart"/>
      <w:r>
        <w:rPr>
          <w:rFonts w:ascii="Times New Roman" w:hAnsi="Times New Roman" w:cs="Times New Roman"/>
          <w:color w:val="000000"/>
        </w:rPr>
        <w:t>Khaminwa</w:t>
      </w:r>
      <w:proofErr w:type="spellEnd"/>
      <w:r>
        <w:rPr>
          <w:rFonts w:ascii="Times New Roman" w:hAnsi="Times New Roman" w:cs="Times New Roman"/>
          <w:color w:val="000000"/>
        </w:rPr>
        <w:t xml:space="preserve"> J) dated 19 August 2003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wherein the superior court dismissed with costs and application by Mohamed (appellant herein) to strike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out an Election petition cause number 3 of 2003 filed by Mohamed Bwana </w:t>
      </w:r>
      <w:proofErr w:type="spellStart"/>
      <w:r>
        <w:rPr>
          <w:rFonts w:ascii="Times New Roman" w:hAnsi="Times New Roman" w:cs="Times New Roman"/>
          <w:color w:val="000000"/>
        </w:rPr>
        <w:t>Bakari</w:t>
      </w:r>
      <w:proofErr w:type="spellEnd"/>
      <w:r>
        <w:rPr>
          <w:rFonts w:ascii="Times New Roman" w:hAnsi="Times New Roman" w:cs="Times New Roman"/>
          <w:color w:val="000000"/>
        </w:rPr>
        <w:t xml:space="preserve"> (first respondent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herein).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By a Gazette Notice dated 3 January 2003, the appellant was declared to be duly elected as a </w:t>
      </w:r>
      <w:proofErr w:type="gramStart"/>
      <w:r>
        <w:rPr>
          <w:rFonts w:ascii="Times New Roman" w:hAnsi="Times New Roman" w:cs="Times New Roman"/>
          <w:color w:val="000000"/>
        </w:rPr>
        <w:t>member</w:t>
      </w:r>
      <w:proofErr w:type="gramEnd"/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Parliament for </w:t>
      </w:r>
      <w:proofErr w:type="spellStart"/>
      <w:r>
        <w:rPr>
          <w:rFonts w:ascii="Times New Roman" w:hAnsi="Times New Roman" w:cs="Times New Roman"/>
          <w:color w:val="000000"/>
        </w:rPr>
        <w:t>Lamu</w:t>
      </w:r>
      <w:proofErr w:type="spellEnd"/>
      <w:r>
        <w:rPr>
          <w:rFonts w:ascii="Times New Roman" w:hAnsi="Times New Roman" w:cs="Times New Roman"/>
          <w:color w:val="000000"/>
        </w:rPr>
        <w:t xml:space="preserve"> East constituency in the Parliament Elections held on 27 December 2002. The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petitioner then filed a petition praying that the election for </w:t>
      </w:r>
      <w:proofErr w:type="spellStart"/>
      <w:r>
        <w:rPr>
          <w:rFonts w:ascii="Times New Roman" w:hAnsi="Times New Roman" w:cs="Times New Roman"/>
          <w:color w:val="000000"/>
        </w:rPr>
        <w:t>Lamu</w:t>
      </w:r>
      <w:proofErr w:type="spellEnd"/>
      <w:r>
        <w:rPr>
          <w:rFonts w:ascii="Times New Roman" w:hAnsi="Times New Roman" w:cs="Times New Roman"/>
          <w:color w:val="000000"/>
        </w:rPr>
        <w:t xml:space="preserve"> East Constituency be declared null and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void because of various irregularities and malpractices. Thereafter, the appellant filed an application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section 20(1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the National Assembly and Presidential Elections Act (Chapter 7) (Act) seeking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 order,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that the petition be struck out on the ground that: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same was not personally served on the first respondent within 28 days after the date of the publication of</w:t>
      </w:r>
      <w:r w:rsidR="00754B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result of the Parliamentary Election in the Kenya Gazette on 3 January 2003 or at all.”</w:t>
      </w:r>
      <w:r w:rsidR="00754B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first respondent filed a replying affidavit verifying, among other things, that the appellant was served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notice of presentation of the petition and the petition through three avenues, namely, by pinning the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notice of the presentation of the petition and the petition on the gate of his residence in Mombasa on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28 January 2003; by sending those documents by registered post to the last known postal address of the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first respondent and by notice in the Gazette which was published on 31 January 2003. The full facts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regarding the service are contained in the judgment of </w:t>
      </w:r>
      <w:proofErr w:type="spellStart"/>
      <w:r>
        <w:rPr>
          <w:rFonts w:ascii="Times New Roman" w:hAnsi="Times New Roman" w:cs="Times New Roman"/>
          <w:color w:val="000000"/>
        </w:rPr>
        <w:t>Omolo</w:t>
      </w:r>
      <w:proofErr w:type="spellEnd"/>
      <w:r>
        <w:rPr>
          <w:rFonts w:ascii="Times New Roman" w:hAnsi="Times New Roman" w:cs="Times New Roman"/>
          <w:color w:val="000000"/>
        </w:rPr>
        <w:t xml:space="preserve"> JA.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did not dispute that he was served as described but relying on the decision of this Court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Kibaki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Moi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Civil appeal number 172 of 1999 (UR) contended that he was not personally served. The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dispute in the superior court was aptly </w:t>
      </w:r>
      <w:proofErr w:type="spellStart"/>
      <w:r>
        <w:rPr>
          <w:rFonts w:ascii="Times New Roman" w:hAnsi="Times New Roman" w:cs="Times New Roman"/>
          <w:color w:val="000000"/>
        </w:rPr>
        <w:t>summarised</w:t>
      </w:r>
      <w:proofErr w:type="spellEnd"/>
      <w:r>
        <w:rPr>
          <w:rFonts w:ascii="Times New Roman" w:hAnsi="Times New Roman" w:cs="Times New Roman"/>
          <w:color w:val="000000"/>
        </w:rPr>
        <w:t xml:space="preserve"> by the superior court thus: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“It is not disputed that the petition was presented within 28 days after publication of election result. It is not</w:t>
      </w:r>
      <w:r w:rsidR="00754B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disputed that it was served within the time limited. The dispute is that the service was not personal service</w:t>
      </w:r>
      <w:r w:rsidR="00754B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upon the respondent. Now the issue is, does the law regarding election petitions require personal service?”</w:t>
      </w:r>
      <w:r w:rsidR="00754B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learned Judge answered that question in the negative and was satisfied that the appellant was duly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served. This appeal arises from that decision.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Kibaki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Moi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the service of the petition was through Gazette Notice published within 7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days of the filing of the election petition to challenge the validity of the election, the result of which was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published in the Gazette about 17 days before the filing of the petition. It was contended in that case, that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service through publication in the Gazette was authorised by rule 14 of the National Assembly Election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(Petition Rules), 1993 which provides: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“14 (1) Notice of presentation of a petition accompanied by a copy of the petition shall within ten days</w:t>
      </w:r>
      <w:r w:rsidR="00754B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the presentation of the petition, be served by the petitioner on the respondent.</w:t>
      </w:r>
      <w:r w:rsidR="00754B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(2) Service may be effected either by delivering the notice and copy to the advocate appointed by</w:t>
      </w:r>
      <w:r w:rsidR="00754B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respondent under rule 10 or by posting them by a registered letter to the address given under</w:t>
      </w:r>
      <w:r w:rsidR="00754B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rule 10 so that, in the ordinary course of post, the letter would be delivered within the time</w:t>
      </w:r>
      <w:r w:rsidR="00754B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above mentioned or if no advocate has been appointed, or no such address has been given by a</w:t>
      </w:r>
      <w:r w:rsidR="00754B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notice published in the Gazette stating that the petition has been presented and that copy of it</w:t>
      </w:r>
      <w:r w:rsidR="00754B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may be obtained by the respondent on application at the office of the registrar.”</w:t>
      </w:r>
      <w:r w:rsidR="00754B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Rule 10 referred to above states: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“A person elected may at any time after he is elected send or leave at the office of the registrar a notice in</w:t>
      </w:r>
      <w:r w:rsidR="00754B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writing signed by him or on his behalf, appointing an advocate to act as his advocate in case there should be a</w:t>
      </w:r>
      <w:r w:rsidR="00754B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petitioner against him, or stating that he intends to act for himself, and in either case giving an address in</w:t>
      </w:r>
      <w:r w:rsidR="00754B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Kenya at which notices addressed to him may be left or if no such writing is left all notices and proceedings</w:t>
      </w:r>
      <w:r w:rsidR="00754B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may be given or served by leaving them at the office of the registrar.”</w:t>
      </w:r>
      <w:r w:rsidR="00754B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application to strike out the petition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Kibaki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Moi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was based on the ground that the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(</w:t>
      </w:r>
      <w:proofErr w:type="spellStart"/>
      <w:r>
        <w:rPr>
          <w:rFonts w:ascii="Times New Roman" w:hAnsi="Times New Roman" w:cs="Times New Roman"/>
          <w:color w:val="000000"/>
        </w:rPr>
        <w:t>Moi</w:t>
      </w:r>
      <w:proofErr w:type="spellEnd"/>
      <w:r>
        <w:rPr>
          <w:rFonts w:ascii="Times New Roman" w:hAnsi="Times New Roman" w:cs="Times New Roman"/>
          <w:color w:val="000000"/>
        </w:rPr>
        <w:t>) had not been: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“Served personally with the petition . . . either within 28 days after the date of. . .publication as required by</w:t>
      </w:r>
      <w:r w:rsidR="00754B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section 20(1) of the National Assembly and Presidential Elections Act (Chapter 7) or at all.”</w:t>
      </w:r>
      <w:r w:rsidR="00754B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Section 20(1)(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referred to above provided: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“A petition:</w:t>
      </w:r>
      <w:r w:rsidR="00754B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to question the validity of an election, shall be presented and served within twenty eight days after the</w:t>
      </w:r>
      <w:r w:rsidR="00754B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date of publication of the result of the election in the Gazette.”</w:t>
      </w:r>
      <w:r w:rsidR="00754B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support of the application to strike out the petition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Kibaki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Moi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), it was contended that rule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14 had become irrelevant since it was in conflict with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20(1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), in that whereas section 20(1)(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provided that a petition be presented and served within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28 days, rule 14(1) provided that the petition should be served within 10 days of the presentation.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Court agreed with this submissions and held: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“We accordingly agree with the High Court that section 20(1)(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of the Act is in direct conflict with rule 14</w:t>
      </w:r>
      <w:r w:rsidR="00754B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that being so rule 14 must give way to the plain words of section 20(1)(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of the Act. Accordingly rule 14</w:t>
      </w:r>
      <w:r w:rsidR="00754B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of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the Rules can no longer apply to petitions which concern section 20(1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of the Act.”</w:t>
      </w:r>
      <w:r w:rsidR="00754B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so finding the court, in effect, overruled its previous decisions, namely,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Chelaite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Njuki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</w:t>
      </w:r>
      <w:r w:rsidR="00754B44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Civil appeal number 150 of 1998 and </w:t>
      </w:r>
      <w:r>
        <w:rPr>
          <w:rFonts w:ascii="Times New Roman" w:hAnsi="Times New Roman" w:cs="Times New Roman"/>
          <w:i/>
          <w:iCs/>
          <w:color w:val="000000"/>
        </w:rPr>
        <w:t xml:space="preserve">David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Kairu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Murathe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Samuel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Kamau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Macharia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Civil appeal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number 171 of 1998, (UR), to the effect that there was no conflict in the two provisions.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must confess that I have found it difficult to appreciate, from the judgment, the relevance of the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issue of conflict of the two provisions relating to time of service (as opposed to mode of service) of a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petition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Kibaki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Moi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to the application which was before the court because it was not there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contended that service was outside the 28 days or outside the 10 days after the presentation of the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petition.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seems from the judgment, however, that the effect of the conflict was at least to render rule 14(1)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inoperative and to leave section 20(1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as the only provision dealing with the service of petition. As a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consequence, the court found that section 20(1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does not prescribe any mode of service and hence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applied the provisions of the Civil Procedure Act regarding requirement of personal service. The court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then emphatically held that: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“Service by way of publication in the Kenya Gazette, in view of sections 20(1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of the Act, cannot be</w:t>
      </w:r>
      <w:r w:rsidR="00754B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proper service and later that:</w:t>
      </w:r>
      <w:r w:rsidR="00754B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‘But the courts must accept the wisdom of the Parliament unless, of course they are contrary to the</w:t>
      </w:r>
      <w:r w:rsidR="00754B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provisions of the Constitution. It was decreed in section 20(1)(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that service of election petitions must</w:t>
      </w:r>
      <w:r w:rsidR="00754B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 personal and whatever problems may arise from that the courts must enforce the law until</w:t>
      </w:r>
      <w:r w:rsidR="00754B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Parliament should itself be minded to change it.’”</w:t>
      </w:r>
      <w:r w:rsidR="00754B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Court nevertheless, agreed that the National Assembly and the Presidential Elections Act and the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National Assembly Elections (Election Petition) Rules both form a complete regime and other legislation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 rules can only be applicable to election petitions if they are made applicable by the Act itself or the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rules.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the present case, the superior court was urged not to follow the decision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Kibaki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Moi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on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ground that it was made </w:t>
      </w:r>
      <w:r>
        <w:rPr>
          <w:rFonts w:ascii="Times New Roman" w:hAnsi="Times New Roman" w:cs="Times New Roman"/>
          <w:i/>
          <w:iCs/>
          <w:color w:val="000000"/>
        </w:rPr>
        <w:t xml:space="preserve">per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incuriam</w:t>
      </w:r>
      <w:proofErr w:type="spellEnd"/>
      <w:r>
        <w:rPr>
          <w:rFonts w:ascii="Times New Roman" w:hAnsi="Times New Roman" w:cs="Times New Roman"/>
          <w:color w:val="000000"/>
        </w:rPr>
        <w:t>. The learned Judge was referred to many authorities on the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question of the interpretation of statutes and on the doctrine of precedent. The learned Judge (</w:t>
      </w:r>
      <w:proofErr w:type="spellStart"/>
      <w:r>
        <w:rPr>
          <w:rFonts w:ascii="Times New Roman" w:hAnsi="Times New Roman" w:cs="Times New Roman"/>
          <w:color w:val="000000"/>
        </w:rPr>
        <w:t>Khaminwa</w:t>
      </w:r>
      <w:proofErr w:type="spellEnd"/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J) found, </w:t>
      </w:r>
      <w:r>
        <w:rPr>
          <w:rFonts w:ascii="Times New Roman" w:hAnsi="Times New Roman" w:cs="Times New Roman"/>
          <w:i/>
          <w:iCs/>
          <w:color w:val="000000"/>
        </w:rPr>
        <w:t xml:space="preserve">inter alia, </w:t>
      </w:r>
      <w:r>
        <w:rPr>
          <w:rFonts w:ascii="Times New Roman" w:hAnsi="Times New Roman" w:cs="Times New Roman"/>
          <w:color w:val="000000"/>
        </w:rPr>
        <w:t xml:space="preserve">that the Court of Appeal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Kibaki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Moi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failed to comment on rule 14(2);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rule 14(2) is not in conflict with section 20(1)(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the Act; that Parliament had not expressly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required nor intended personal service of Election petitions, that service through publication in the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Gazette is not inconsistent with section 20(1)(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 xml:space="preserve">); that the decision of the Court of Appeal was </w:t>
      </w:r>
      <w:r>
        <w:rPr>
          <w:rFonts w:ascii="Times New Roman" w:hAnsi="Times New Roman" w:cs="Times New Roman"/>
          <w:i/>
          <w:iCs/>
          <w:color w:val="000000"/>
        </w:rPr>
        <w:t>per</w:t>
      </w:r>
      <w:r w:rsidR="00754B44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incuriam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and, therefore, not binding on the High Court. Those are weighty legal issues indeed.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decision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Kibaki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Moi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), and the interpretation of that decision by the superior court, is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central focus of this appeal. The court has been urged,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specifically, to make a finding that the decision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Kibaki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Moi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 xml:space="preserve">) was made </w:t>
      </w:r>
      <w:r>
        <w:rPr>
          <w:rFonts w:ascii="Times New Roman" w:hAnsi="Times New Roman" w:cs="Times New Roman"/>
          <w:i/>
          <w:iCs/>
          <w:color w:val="000000"/>
        </w:rPr>
        <w:t xml:space="preserve">per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incuriam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to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overrule it.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purpose of the construction of a statute is to find out the intention of Legislature. If the words of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statute are clear and unambiguous effect must be given to them for the statute speaks the intention of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Legislature. It is not permissible in the construction of statutes to imply a provision in the statute,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which is inconsistent with the words expressly used. The law is concisely stated in </w:t>
      </w:r>
      <w:r>
        <w:rPr>
          <w:rFonts w:ascii="Times New Roman" w:hAnsi="Times New Roman" w:cs="Times New Roman"/>
          <w:i/>
          <w:iCs/>
          <w:color w:val="000000"/>
        </w:rPr>
        <w:t>Halsbury’s Laws of</w:t>
      </w:r>
      <w:r w:rsidR="00754B44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England </w:t>
      </w:r>
      <w:r>
        <w:rPr>
          <w:rFonts w:ascii="Times New Roman" w:hAnsi="Times New Roman" w:cs="Times New Roman"/>
          <w:color w:val="000000"/>
        </w:rPr>
        <w:t>(3ed) at 582 thus: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“Statutes must be construed to make them operative.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If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 possible the words of a statute must be construed so</w:t>
      </w:r>
      <w:r w:rsidR="00754B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as to give a sensible meaning to them … A statute must, if possible, be construed in the sense which makes it</w:t>
      </w:r>
      <w:r w:rsidR="00754B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operative, and nothing short of impossibility so to construe it should allow a court, to declare a statute</w:t>
      </w:r>
      <w:r w:rsidR="00754B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unworkable. Thus, where a statute has some meaning, even though there is little to choose between them, the</w:t>
      </w:r>
      <w:r w:rsidR="00754B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courts must decide what meaning the statute is to bear rather than reject it as a nullity. It is not permissible to</w:t>
      </w:r>
      <w:r w:rsidR="00754B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treat a statutory provision as void for mere uncertainty, unless the uncertainty cannot be resolved and the</w:t>
      </w:r>
      <w:r w:rsidR="00754B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provision can be given no sensible or ascertainable meaning and must therefore be rendered as meaningless.</w:t>
      </w:r>
      <w:r w:rsidR="00754B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Where the main object and intention of a statute are clear, it should not be reduced to a nullity by a literal</w:t>
      </w:r>
      <w:r w:rsidR="00754B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following of language which may be due to want of skill or knowledge on the part of a draftsman unless such</w:t>
      </w:r>
      <w:r w:rsidR="00754B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language is intractable.”</w:t>
      </w:r>
      <w:r w:rsidR="00754B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This Court is bound by principle of </w:t>
      </w:r>
      <w:r>
        <w:rPr>
          <w:rFonts w:ascii="Times New Roman" w:hAnsi="Times New Roman" w:cs="Times New Roman"/>
          <w:i/>
          <w:iCs/>
          <w:color w:val="000000"/>
        </w:rPr>
        <w:t xml:space="preserve">stare decisis </w:t>
      </w:r>
      <w:r>
        <w:rPr>
          <w:rFonts w:ascii="Times New Roman" w:hAnsi="Times New Roman" w:cs="Times New Roman"/>
          <w:color w:val="000000"/>
        </w:rPr>
        <w:t xml:space="preserve">to follow its own decisions except where, </w:t>
      </w:r>
      <w:r>
        <w:rPr>
          <w:rFonts w:ascii="Times New Roman" w:hAnsi="Times New Roman" w:cs="Times New Roman"/>
          <w:i/>
          <w:iCs/>
          <w:color w:val="000000"/>
        </w:rPr>
        <w:t xml:space="preserve">inter alia, </w:t>
      </w:r>
      <w:r>
        <w:rPr>
          <w:rFonts w:ascii="Times New Roman" w:hAnsi="Times New Roman" w:cs="Times New Roman"/>
          <w:color w:val="000000"/>
        </w:rPr>
        <w:t>the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decision was given </w:t>
      </w:r>
      <w:r>
        <w:rPr>
          <w:rFonts w:ascii="Times New Roman" w:hAnsi="Times New Roman" w:cs="Times New Roman"/>
          <w:i/>
          <w:iCs/>
          <w:color w:val="000000"/>
        </w:rPr>
        <w:t xml:space="preserve">per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incuriam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a decision is given </w:t>
      </w:r>
      <w:r>
        <w:rPr>
          <w:rFonts w:ascii="Times New Roman" w:hAnsi="Times New Roman" w:cs="Times New Roman"/>
          <w:i/>
          <w:iCs/>
          <w:color w:val="000000"/>
        </w:rPr>
        <w:t xml:space="preserve">per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incuriam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if it is given in ignorance or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forgetfulness of some inconsistent statutory provision or authority binding on it (See </w:t>
      </w:r>
      <w:r>
        <w:rPr>
          <w:rFonts w:ascii="Times New Roman" w:hAnsi="Times New Roman" w:cs="Times New Roman"/>
          <w:i/>
          <w:iCs/>
          <w:color w:val="000000"/>
        </w:rPr>
        <w:t>Young v Bristol</w:t>
      </w:r>
      <w:r w:rsidR="00754B44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Aeroplane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Company Ltd </w:t>
      </w:r>
      <w:r>
        <w:rPr>
          <w:rFonts w:ascii="Times New Roman" w:hAnsi="Times New Roman" w:cs="Times New Roman"/>
          <w:color w:val="000000"/>
        </w:rPr>
        <w:t xml:space="preserve">[1944] 1 KB 718.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Kiriri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Cotton Company v RK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Devani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[1958] EA 159;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Dodhia</w:t>
      </w:r>
      <w:proofErr w:type="spellEnd"/>
      <w:r w:rsidR="00754B44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v Nat 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Grindlays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Bank Ltd </w:t>
      </w:r>
      <w:r>
        <w:rPr>
          <w:rFonts w:ascii="Times New Roman" w:hAnsi="Times New Roman" w:cs="Times New Roman"/>
          <w:color w:val="000000"/>
        </w:rPr>
        <w:t xml:space="preserve">[1970] EA 195 and </w:t>
      </w:r>
      <w:r>
        <w:rPr>
          <w:rFonts w:ascii="Times New Roman" w:hAnsi="Times New Roman" w:cs="Times New Roman"/>
          <w:i/>
          <w:iCs/>
          <w:color w:val="000000"/>
        </w:rPr>
        <w:t xml:space="preserve">Income Tax v T </w:t>
      </w:r>
      <w:r>
        <w:rPr>
          <w:rFonts w:ascii="Times New Roman" w:hAnsi="Times New Roman" w:cs="Times New Roman"/>
          <w:color w:val="000000"/>
        </w:rPr>
        <w:t>[1974] EA 546.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law is the same as it was when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Kibaki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Moi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was decided. Section 20(1)(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the Act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does not decree as the court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Kibaki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Moi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erroneously, in my view, said, that service of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election petitions must be personal. The section does not indeed deal with the mode of service. It merely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prescribes the time of service. The Court of Appeal did not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Kibaki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Moi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construe rule 14(2)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is a subsidiary legislation having the same status as an Act of Parliament. That rule prescribes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three statutory modes of service of election petitions, which do not </w:t>
      </w:r>
      <w:r>
        <w:rPr>
          <w:rFonts w:ascii="Times New Roman" w:hAnsi="Times New Roman" w:cs="Times New Roman"/>
          <w:color w:val="000000"/>
        </w:rPr>
        <w:lastRenderedPageBreak/>
        <w:t>include personal service.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prescribed mode of service includes service by notice published in the Gazette which was one of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three modes used in this case.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</w:t>
      </w:r>
      <w:r>
        <w:rPr>
          <w:rFonts w:ascii="Times New Roman" w:hAnsi="Times New Roman" w:cs="Times New Roman"/>
          <w:i/>
          <w:iCs/>
          <w:color w:val="000000"/>
        </w:rPr>
        <w:t xml:space="preserve">Ferrell v Alexander </w:t>
      </w:r>
      <w:r>
        <w:rPr>
          <w:rFonts w:ascii="Times New Roman" w:hAnsi="Times New Roman" w:cs="Times New Roman"/>
          <w:color w:val="000000"/>
        </w:rPr>
        <w:t>[1976] 1 All ER 129, Lord Denning MR said in part at 137 paragraph d: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“No court is entitled to throw over the plain words of a statute by referring to a previous judicial decision.</w:t>
      </w:r>
      <w:r w:rsidR="00754B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When there is a conflict between a plain statute and a previous decision the statute must prevail.”</w:t>
      </w:r>
      <w:r w:rsidR="00754B4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As I have said above, the court did not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Kibaki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Moi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embark on a construction of provisions of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rule 14(2), which were the only statutory provisions prescribing the mode of service. The court with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respect ignored the provisions of the rule and imported into the Act the requirement of personal service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election petition (which is not in the Act or rules) in disregard of the cannons of the construction of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statutes. In my humble view, the decision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Kibaki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Moi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 xml:space="preserve">) was given </w:t>
      </w:r>
      <w:r>
        <w:rPr>
          <w:rFonts w:ascii="Times New Roman" w:hAnsi="Times New Roman" w:cs="Times New Roman"/>
          <w:i/>
          <w:iCs/>
          <w:color w:val="000000"/>
        </w:rPr>
        <w:t xml:space="preserve">per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incuriam</w:t>
      </w:r>
      <w:proofErr w:type="spellEnd"/>
      <w:r>
        <w:rPr>
          <w:rFonts w:ascii="Times New Roman" w:hAnsi="Times New Roman" w:cs="Times New Roman"/>
          <w:color w:val="000000"/>
        </w:rPr>
        <w:t>. I would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further hold that the decision does not establish any discernable precedent as the court did not in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construe any specific provisions of the Act or the rules, in particular, rule 14(2). Had the court construed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any specific words of the statute </w:t>
      </w:r>
      <w:proofErr w:type="spellStart"/>
      <w:r>
        <w:rPr>
          <w:rFonts w:ascii="Times New Roman" w:hAnsi="Times New Roman" w:cs="Times New Roman"/>
          <w:color w:val="000000"/>
        </w:rPr>
        <w:t>eg</w:t>
      </w:r>
      <w:proofErr w:type="spellEnd"/>
      <w:r>
        <w:rPr>
          <w:rFonts w:ascii="Times New Roman" w:hAnsi="Times New Roman" w:cs="Times New Roman"/>
          <w:color w:val="000000"/>
        </w:rPr>
        <w:t xml:space="preserve"> rule 14(2) and judicially interpreted the provision, either wrongly or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rightly, then the decision can be said to be an authority on the meaning of the specific words of a statute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would therefore be a binding precedent. It follows that what the court said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Kibaki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Moi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(supra</w:t>
      </w:r>
      <w:r>
        <w:rPr>
          <w:rFonts w:ascii="Times New Roman" w:hAnsi="Times New Roman" w:cs="Times New Roman"/>
          <w:color w:val="000000"/>
        </w:rPr>
        <w:t>)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about personal service which was not connected with any provision of the statute, was merely a dictum.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circumstances, the superior court, was in my view, free to construe the specific provisions of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statute particularly rule 14(2) as it understood them. I am satisfied that the superior court made a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valiant and correct construction of the statute particularly rule 14(2). The learned Judge deserves due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tribute. The appeal has no merit.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those reasons, I dismiss the appeal with costs.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Waki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JA</w:t>
      </w:r>
      <w:r>
        <w:rPr>
          <w:rFonts w:ascii="Times New Roman" w:hAnsi="Times New Roman" w:cs="Times New Roman"/>
          <w:color w:val="000000"/>
        </w:rPr>
        <w:t xml:space="preserve">: I have had the advantage of reading in draft the judgment of my brother </w:t>
      </w:r>
      <w:proofErr w:type="spellStart"/>
      <w:r>
        <w:rPr>
          <w:rFonts w:ascii="Times New Roman" w:hAnsi="Times New Roman" w:cs="Times New Roman"/>
          <w:color w:val="000000"/>
        </w:rPr>
        <w:t>Omolo</w:t>
      </w:r>
      <w:proofErr w:type="spellEnd"/>
      <w:r>
        <w:rPr>
          <w:rFonts w:ascii="Times New Roman" w:hAnsi="Times New Roman" w:cs="Times New Roman"/>
          <w:color w:val="000000"/>
        </w:rPr>
        <w:t xml:space="preserve"> JA.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 agree with </w:t>
      </w:r>
      <w:proofErr w:type="spellStart"/>
      <w:r>
        <w:rPr>
          <w:rFonts w:ascii="Times New Roman" w:hAnsi="Times New Roman" w:cs="Times New Roman"/>
          <w:color w:val="000000"/>
        </w:rPr>
        <w:t>Omolo</w:t>
      </w:r>
      <w:proofErr w:type="spellEnd"/>
      <w:r>
        <w:rPr>
          <w:rFonts w:ascii="Times New Roman" w:hAnsi="Times New Roman" w:cs="Times New Roman"/>
          <w:color w:val="000000"/>
        </w:rPr>
        <w:t xml:space="preserve"> JA that the appeal before us rests on its own facts and does not call for a discourse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the decision of this Court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Kibaki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Moi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(supra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 xml:space="preserve">. </w:t>
      </w:r>
      <w:r>
        <w:rPr>
          <w:rFonts w:ascii="Times New Roman" w:hAnsi="Times New Roman" w:cs="Times New Roman"/>
          <w:color w:val="000000"/>
        </w:rPr>
        <w:t xml:space="preserve">Such discourse would be largely </w:t>
      </w:r>
      <w:r>
        <w:rPr>
          <w:rFonts w:ascii="Times New Roman" w:hAnsi="Times New Roman" w:cs="Times New Roman"/>
          <w:i/>
          <w:iCs/>
          <w:color w:val="000000"/>
        </w:rPr>
        <w:t>obiter</w:t>
      </w:r>
      <w:r>
        <w:rPr>
          <w:rFonts w:ascii="Times New Roman" w:hAnsi="Times New Roman" w:cs="Times New Roman"/>
          <w:color w:val="000000"/>
        </w:rPr>
        <w:t>. The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occasion will no doubt arise, unless Parliament effects the proposed amendments in the law, when the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ratio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decidendi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that overused decision will be re-examined in a proper forum of this Court or by a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higher court.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appeal before us is for dismissal for the reasons given in the judgment of </w:t>
      </w:r>
      <w:proofErr w:type="spellStart"/>
      <w:r>
        <w:rPr>
          <w:rFonts w:ascii="Times New Roman" w:hAnsi="Times New Roman" w:cs="Times New Roman"/>
          <w:color w:val="000000"/>
        </w:rPr>
        <w:t>Omolo</w:t>
      </w:r>
      <w:proofErr w:type="spellEnd"/>
      <w:r>
        <w:rPr>
          <w:rFonts w:ascii="Times New Roman" w:hAnsi="Times New Roman" w:cs="Times New Roman"/>
          <w:color w:val="000000"/>
        </w:rPr>
        <w:t xml:space="preserve"> JA and I have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nothing useful to add.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Deverell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O’Kubasu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Tunoi</w:t>
      </w:r>
      <w:proofErr w:type="spellEnd"/>
      <w:r>
        <w:rPr>
          <w:rFonts w:ascii="Times New Roman" w:hAnsi="Times New Roman" w:cs="Times New Roman"/>
          <w:color w:val="000000"/>
        </w:rPr>
        <w:t xml:space="preserve"> JJA concurred in the judgment of </w:t>
      </w:r>
      <w:proofErr w:type="spellStart"/>
      <w:r>
        <w:rPr>
          <w:rFonts w:ascii="Times New Roman" w:hAnsi="Times New Roman" w:cs="Times New Roman"/>
          <w:color w:val="000000"/>
        </w:rPr>
        <w:t>Omolo</w:t>
      </w:r>
      <w:proofErr w:type="spellEnd"/>
      <w:r>
        <w:rPr>
          <w:rFonts w:ascii="Times New Roman" w:hAnsi="Times New Roman" w:cs="Times New Roman"/>
          <w:color w:val="000000"/>
        </w:rPr>
        <w:t xml:space="preserve"> JA.</w:t>
      </w:r>
      <w:r w:rsidR="00754B4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appellant:</w:t>
      </w:r>
    </w:p>
    <w:p w:rsidR="00EB2CD8" w:rsidRDefault="00EB2CD8" w:rsidP="00EB2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p w:rsidR="00366D10" w:rsidRDefault="00EB2CD8" w:rsidP="00EB2CD8">
      <w:r>
        <w:rPr>
          <w:rFonts w:ascii="Times New Roman" w:hAnsi="Times New Roman" w:cs="Times New Roman"/>
          <w:color w:val="000000"/>
        </w:rPr>
        <w:t>For the first respondent:</w:t>
      </w:r>
    </w:p>
    <w:sectPr w:rsidR="00366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CD8"/>
    <w:rsid w:val="00366D10"/>
    <w:rsid w:val="00754B44"/>
    <w:rsid w:val="00EB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5C2F8D-2F9D-4136-8A93-4DFC9031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5255</Words>
  <Characters>29955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2018-07-04T19:47:00Z</dcterms:created>
  <dcterms:modified xsi:type="dcterms:W3CDTF">2018-07-13T13:18:00Z</dcterms:modified>
</cp:coreProperties>
</file>