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Mohamedi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August 1973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80/1972 (53/74)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Closing address – Right of an accused to make – Accused not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informed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right – Curable irregularity. – Criminal Procedure Code, s. </w:t>
      </w:r>
      <w:r>
        <w:rPr>
          <w:rFonts w:ascii="Times New Roman" w:hAnsi="Times New Roman" w:cs="Times New Roman"/>
          <w:color w:val="000000"/>
        </w:rPr>
        <w:t>208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Practice and Procedure – Witness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witness not present – Trial court’s duty –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Criminal Procedure Code, s. </w:t>
      </w:r>
      <w:r>
        <w:rPr>
          <w:rFonts w:ascii="Times New Roman" w:hAnsi="Times New Roman" w:cs="Times New Roman"/>
          <w:color w:val="000000"/>
        </w:rPr>
        <w:t>206 (2).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Evidence – Criminal acts – Other than those charged – Bribes – Admissible to rebut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innocent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possession of money.</w:t>
      </w:r>
    </w:p>
    <w:p w:rsidR="008219BB" w:rsidRDefault="00946F81" w:rsidP="00946F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219BB" w:rsidRDefault="008219BB" w:rsidP="00946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Biron J: </w:t>
      </w:r>
      <w:r>
        <w:rPr>
          <w:rFonts w:ascii="Times New Roman" w:hAnsi="Times New Roman" w:cs="Times New Roman"/>
          <w:color w:val="000000"/>
        </w:rPr>
        <w:t xml:space="preserve">The appellant who was charged in the resident magistrate’s court,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on two counts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Corruption Act 1971; of soliciting a bribe and of obtaining a bribe, was acquitted on the former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convicted on the latter charge, and he was sentenced to imprisonment for two years. He appealed to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established in evidence that the appellant was at the material time employed as an assistant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 manager and supervisor by the National Housing Corporation (hereinafter referred to as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Corporation) at </w:t>
      </w:r>
      <w:proofErr w:type="spellStart"/>
      <w:r>
        <w:rPr>
          <w:rFonts w:ascii="Times New Roman" w:hAnsi="Times New Roman" w:cs="Times New Roman"/>
          <w:color w:val="000000"/>
        </w:rPr>
        <w:t>Kijitonyama</w:t>
      </w:r>
      <w:proofErr w:type="spellEnd"/>
      <w:r>
        <w:rPr>
          <w:rFonts w:ascii="Times New Roman" w:hAnsi="Times New Roman" w:cs="Times New Roman"/>
          <w:color w:val="000000"/>
        </w:rPr>
        <w:t xml:space="preserve">. His duties included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allocation of plots to contractors,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masons, who would build houses on these plots allocated to them, apparently under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supervision and then after their work had been passed as satisfactory, the would be paid by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mason contractor, </w:t>
      </w:r>
      <w:proofErr w:type="spellStart"/>
      <w:r>
        <w:rPr>
          <w:rFonts w:ascii="Times New Roman" w:hAnsi="Times New Roman" w:cs="Times New Roman"/>
          <w:color w:val="000000"/>
        </w:rPr>
        <w:t>Iddi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Seif</w:t>
      </w:r>
      <w:proofErr w:type="spellEnd"/>
      <w:r>
        <w:rPr>
          <w:rFonts w:ascii="Times New Roman" w:hAnsi="Times New Roman" w:cs="Times New Roman"/>
          <w:color w:val="000000"/>
        </w:rPr>
        <w:t>, testified to the effect that he had been allocated four plots on which to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build by one, </w:t>
      </w:r>
      <w:proofErr w:type="spellStart"/>
      <w:r>
        <w:rPr>
          <w:rFonts w:ascii="Times New Roman" w:hAnsi="Times New Roman" w:cs="Times New Roman"/>
          <w:color w:val="000000"/>
        </w:rPr>
        <w:t>Semtumberi</w:t>
      </w:r>
      <w:proofErr w:type="spellEnd"/>
      <w:r>
        <w:rPr>
          <w:rFonts w:ascii="Times New Roman" w:hAnsi="Times New Roman" w:cs="Times New Roman"/>
          <w:color w:val="000000"/>
        </w:rPr>
        <w:t>, who was apparently of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rank and had similar duties as the appellant in the employment of the Corporation. One day, so </w:t>
      </w:r>
      <w:proofErr w:type="spellStart"/>
      <w:r>
        <w:rPr>
          <w:rFonts w:ascii="Times New Roman" w:hAnsi="Times New Roman" w:cs="Times New Roman"/>
          <w:color w:val="000000"/>
        </w:rPr>
        <w:t>Iddi</w:t>
      </w:r>
      <w:proofErr w:type="spellEnd"/>
      <w:r w:rsidR="00946F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Seif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testified, the appellant came to him and asked him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300/-, obviously as a bribe to allocate to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more plots, and further threatened him, that if he did not pay the money requested, he would never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 any more plots allocated to him.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was given by two other mason contractors, Simon </w:t>
      </w:r>
      <w:proofErr w:type="spellStart"/>
      <w:r>
        <w:rPr>
          <w:rFonts w:ascii="Times New Roman" w:hAnsi="Times New Roman" w:cs="Times New Roman"/>
          <w:color w:val="000000"/>
        </w:rPr>
        <w:t>Chuma</w:t>
      </w:r>
      <w:proofErr w:type="spellEnd"/>
      <w:r>
        <w:rPr>
          <w:rFonts w:ascii="Times New Roman" w:hAnsi="Times New Roman" w:cs="Times New Roman"/>
          <w:color w:val="000000"/>
        </w:rPr>
        <w:t xml:space="preserve"> and Ramadhan </w:t>
      </w:r>
      <w:proofErr w:type="spellStart"/>
      <w:r>
        <w:rPr>
          <w:rFonts w:ascii="Times New Roman" w:hAnsi="Times New Roman" w:cs="Times New Roman"/>
          <w:color w:val="000000"/>
        </w:rPr>
        <w:t>Chando</w:t>
      </w:r>
      <w:proofErr w:type="spellEnd"/>
      <w:r>
        <w:rPr>
          <w:rFonts w:ascii="Times New Roman" w:hAnsi="Times New Roman" w:cs="Times New Roman"/>
          <w:color w:val="000000"/>
        </w:rPr>
        <w:t>, to like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effect, that the appellant solicited bribes from them. [The judge set out the evidence and continued.]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judgment, after reviewing the evidence, the magistrate went on to say and I consider it pertinent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necessary to quote him verbatim in </w:t>
      </w:r>
      <w:proofErr w:type="spellStart"/>
      <w:r>
        <w:rPr>
          <w:rFonts w:ascii="Times New Roman" w:hAnsi="Times New Roman" w:cs="Times New Roman"/>
          <w:color w:val="000000"/>
        </w:rPr>
        <w:t>extenso</w:t>
      </w:r>
      <w:proofErr w:type="spellEnd"/>
      <w:r>
        <w:rPr>
          <w:rFonts w:ascii="Times New Roman" w:hAnsi="Times New Roman" w:cs="Times New Roman"/>
          <w:color w:val="000000"/>
        </w:rPr>
        <w:t>, for reasons which will hereinafter become apparent: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the accused was an assistant building inspector employed by the National Housing Corporation is a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 which calls for no dispute. It is also an established fact he surveys, and allocates building sites on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behalf of the National Housing Corporation to building contractors. It is also admitted that the accused has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 to take away plots given one contractor and give them to others. It is clearly shown that the accused is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agent of the National Housing Corporation. I accept his evidence that he has taken two plots from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complainant. The first issue I have to decide is whether there is a conspiracy against him.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the evidence during cross-examination of the complainant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Iddi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Seif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Simon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Chuma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Ramadhani</w:t>
      </w:r>
      <w:proofErr w:type="spellEnd"/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coupled with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witness Mohamed Said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Ramadhani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Siwatu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is not even an iota of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to support the charge of conspiracy. The evidence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Nassoro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Mondo regarding this issue is that 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has heard people saying that if accused is convicted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Iddi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Seif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be paid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500/-as compensation and will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employed permanently. This evidence is rejected for being hearsay. Apart from this there is no evidence to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establish that a conspiracy exists and if it exists at all it is the accused’s figment. I therefore hold that there is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conspiracy against him.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second issue I have to decide is whether the powder which was found in the hands of the accused and in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pockets were such to hold that the police tucked the money in them.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deciding this issue I bear in mind that the accused was being watched from a distance of about six feet from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 accused and complainant were standing. The evidence of the complainant that the accused accepted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money and (put) it in his trouser pocket had been fully corroborated by D/Sgt.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Kalamo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was watching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and complainant. The powder was also seen in his trouser at the I.B. The accused allegations that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powder on the hands were due to beating the complainant was denied by his witness Mohamed Said. His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allegations that the Police had put the money into his pockets were also denied by his witness Mohamed Said.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therefore clearly proved that he was not grabbed by any person, that the accused did not fight with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complainant or slapped the money so as the powder appeared on his hands, and that no one had put the money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his pocket. The prosecution evidence being fully corroborated shows that the accused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Mikoroshoni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Bar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received the money from the complainant, put it in his pocket and then on becoming suspicious threw it away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whereupon he was arrested. I accept the evidence of the complainant, Inspector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Akilimali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D/Sgt.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Kalamo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D/Cpl.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Absolomon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accused by his own will received the money from complainant and then threw it away.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third issue is whether the money received by the accused was an inducement for doing something in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relation to the affairs of his principal.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prosecution case is that the accused would give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Iddi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Seif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contract to build a house if he gave the money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accused. The accused said that at that time there were no plots to build. This has been admitted by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Ramadhani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during cross-examination that at the time of the arrest of the accused there were no plots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left. I therefore find as a fact that at the time of the accused arrest consequently when he received the money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 were no plots left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Kijitonyama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 issue is whether that fact affects the legal position under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Corruption Act. After examining the position of s. 3 (1) of the Corruption Act 1971 I find that the fact that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 were no plots to be allocated to the complainant is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since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300/- was an inducement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further transaction, that is on the availability of plots the accused would give to the complainant a site to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build. I therefore find that it is not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at the time the inducement was made there were no plots to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allocated to the complainant. I am therefore satisfied that the accused as an agent had received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300/-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Iddi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Seif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an inducement for doing something in relation of his principals affairs. I accordingly find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him guilty on count 2.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remaining issue is whether there is any evidence to support the allegations in count 1. The fact that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accused received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300/- as an inducement cannot be presumed that he also induced the complainant to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 him money. Corroboration is necessary to prove a charge under corruption and in this case apart from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complainant’s testimony there is no evidence that he solicited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300/-. In this case the prosecution was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more concerned with count 2 than with count 1. I am therefore satisfied that the prosecution have failed to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 the charge against the accused in count 1 and I acquit him on that count.”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his first petition of appeal, which is prolix in the extreme, the appellant raises a large number of points,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the main complaint of any substance was that the magistrate had refused to let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evidence, and he therefore had not had a fair trial. He enlarged upon this in a memorandum headed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“Final Submission’, which is even more prolix than his original petition.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Chirwa</w:t>
      </w:r>
      <w:proofErr w:type="spellEnd"/>
      <w:r>
        <w:rPr>
          <w:rFonts w:ascii="Times New Roman" w:hAnsi="Times New Roman" w:cs="Times New Roman"/>
          <w:color w:val="000000"/>
        </w:rPr>
        <w:t xml:space="preserve">, filed an “Additional Memorandum of Appeal” wherein it is averred,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That the president magistrate misdirected himself in fact and in law as to the ingredients of the offence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corrupt transaction;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viz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 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failed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bribery and corruption usually involves two persons one of whom is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probably the villain of the piece.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 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failed to consider whether the complainant’s story was properly corroborated in fact or in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 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dismissed off-hand and in a high-handed manner the appellant’s allegation that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complainant had once or twice tried to bribe him. The appellant was prepared to support this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allegation by independent evidence which the magistrate would not allow him to do.”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also repeated the appellant’s allegation that he was not allowed to call his witnesses asserting that: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“3.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magistrate followed a procedure which is contrary to all rules of justice and fair trial. As a result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appellant was prejudiced beyond repair,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viz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espite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fact that the appellant wanted to call 14 witnesses, the magistrate closed the case for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the third witness. The Court had no legal right to do so.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magistrate was wrong in recording that the nature of the evidence was only to establish that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was absent during the period 16 March to 1 April 1971 (which was quite relevant in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itself), but it was also to establish that P.W.1 on more than one occasion attempted to bribe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witnesses were in the court precincts duly summoned. Had they been heard the court would not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come to the same conclusion.” And Mr. </w:t>
      </w:r>
      <w:proofErr w:type="spellStart"/>
      <w:r>
        <w:rPr>
          <w:rFonts w:ascii="Times New Roman" w:hAnsi="Times New Roman" w:cs="Times New Roman"/>
          <w:color w:val="000000"/>
        </w:rPr>
        <w:t>Chirwa</w:t>
      </w:r>
      <w:proofErr w:type="spellEnd"/>
      <w:r>
        <w:rPr>
          <w:rFonts w:ascii="Times New Roman" w:hAnsi="Times New Roman" w:cs="Times New Roman"/>
          <w:color w:val="000000"/>
        </w:rPr>
        <w:t xml:space="preserve"> further complained that: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“4.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magistrate erred in law in admitting the evidence of P.W.4 and P.W.5 as to the general bad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character of the appellant as one who usually goes about soliciting bribes. In the result this evidence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influenced the mind of the magistrate throughout his judgment and thus occasioned a failure of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justice.”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arguing this appeal, Mr. </w:t>
      </w:r>
      <w:proofErr w:type="spellStart"/>
      <w:r>
        <w:rPr>
          <w:rFonts w:ascii="Times New Roman" w:hAnsi="Times New Roman" w:cs="Times New Roman"/>
          <w:color w:val="000000"/>
        </w:rPr>
        <w:t>Chirwa</w:t>
      </w:r>
      <w:proofErr w:type="spellEnd"/>
      <w:r>
        <w:rPr>
          <w:rFonts w:ascii="Times New Roman" w:hAnsi="Times New Roman" w:cs="Times New Roman"/>
          <w:color w:val="000000"/>
        </w:rPr>
        <w:t xml:space="preserve"> repeated and elaborated the grounds of appeal set up by the appellant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and also by counsel in his Additional Memorandum of Appeal, asserting that the appellant’s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were present in court, but the magistrate refused to hear their evidence and closed the case,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 denying the appellant a fair trial.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all due respect to Mr. </w:t>
      </w:r>
      <w:proofErr w:type="spellStart"/>
      <w:r>
        <w:rPr>
          <w:rFonts w:ascii="Times New Roman" w:hAnsi="Times New Roman" w:cs="Times New Roman"/>
          <w:color w:val="000000"/>
        </w:rPr>
        <w:t>Chirwa</w:t>
      </w:r>
      <w:proofErr w:type="spellEnd"/>
      <w:r>
        <w:rPr>
          <w:rFonts w:ascii="Times New Roman" w:hAnsi="Times New Roman" w:cs="Times New Roman"/>
          <w:color w:val="000000"/>
        </w:rPr>
        <w:t>, he does not appear to have consulted his client and he has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certainly not perused his “Final Submission” wherein he expressly states at para. 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“My Lords if you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 not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p. 17 the hearing was supposed to be on the 10 January 1972 and 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witnesses were present, but the trial magistrate adjourned the hearing up to 11 January 1972 without notifying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my 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witnesses to appear on the next day of 11/1/72, see in the proceedings nowhere he had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informed my witnesses to turn up on the 11/1/72, since the absence of my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witnesses on the 11/1/72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my fault or neglect, then the Court should have adjourned the trial and issue process or take other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steps to compel the attendance of such witnesses as prescribed by the law s. 206 (2) of the C.P.C. please see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it.”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is, therefore abundantly clear that, even according to the appellant,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 were not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in court.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206 (2) of the Criminal Procedure Code referred to by the appellant in his “Final Submission”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reads: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“206 (2) If the accused person states that he has witnesses to call but that they are not present in court,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court is satisfied that the absence of such witnesses is not due to any fault or neglect of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accused person, and that there is likelihood that they could, if present, give material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on behalf of the accused person,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court may adjourn the trial and issue process, or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 other steps, to compel the attendance of such witnesses.”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now propose to examine the record and consider whether the magistrate did not comply with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appellant had completed giving his evidence, he is recorded as saying that he had witnesses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call. The court then made an order in terms as follow: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“ORDER: Hearing on 13/12/71. There are 14 witnesses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Please do not fix another case for me.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 summons to issue.”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Pausing there, it is abundantly clear that the magistrate there and then did comply with the subsection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set out.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13 December 1971, the appellant announced that he had two witnesses present. The Court duly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the evidence of these two witnesses and then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is recorded as saying that he still had twelve witnesses. The court accordingly adjourned to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 January 1972, and extended the appellant’s bail. On 10 January, when the appellant is recorded as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announcing that his witnesses were present, the hearing was adjourned until the following day, 11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January, and the appellant’s bail was duly extended. On 11 January, the appellant’s third witness gave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at the end of which the appellant is recorded as saying: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“Other witnesses are not present”. The record then continues: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“COURT: What is the nature of the evidence of the witnesses?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ACCUSED: The witnesses who are remaining will come to establish the fact whether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16/3/71–1/4/71 I was present. That is all I want them to do.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COURT: Having regard to the fact that the only issue remaining for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the accused was on duty between 16/3/71 and 1/4/71 which fact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is not material in the light of the evidence on record I close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Now, how can it be said that the magistrate failed to comply with the requirements of s. 206 (2)?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appellant in his “Final Submission” it was the duty of the magistrate to inform his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of the adjournment. And he goes on to say that: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 should have adjourned the trial and issued process or take other steps as prescribed by the law,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206 (2) of the C.P.C.”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not the slightest duty on the court to issue any further summons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witnesses. It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appellant’s duty to inform his witnesses of the adjournment. The court could hardly do so, as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would not be in court, and it cannot be overstressed that the appellant was allowed out on bail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he, therefore, had every opportunity of informing his witnesses of the adjournment.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206 (2) above set out, gives the court a discretion whether or not further to adjourn a case for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attendance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witnesses. In fact, it could well be argued that on a strict interpretation of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subsection, the magistrate’s discretion as to whether to adjourn the case, is limited, in fact, fettered, in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must first be satisfied that the absence of the witnesses is not due to any fault or neglect of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person and in addition, that there is a likelihood that they could, if present give material evidence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behalf of the accused person. Then the section goes on to say that the court </w:t>
      </w:r>
      <w:r>
        <w:rPr>
          <w:rFonts w:ascii="Times New Roman" w:hAnsi="Times New Roman" w:cs="Times New Roman"/>
          <w:i/>
          <w:iCs/>
          <w:color w:val="000000"/>
        </w:rPr>
        <w:t xml:space="preserve">may </w:t>
      </w:r>
      <w:r>
        <w:rPr>
          <w:rFonts w:ascii="Times New Roman" w:hAnsi="Times New Roman" w:cs="Times New Roman"/>
          <w:color w:val="000000"/>
        </w:rPr>
        <w:t>adjourn the trial etc.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 how </w:t>
      </w:r>
      <w:proofErr w:type="gramStart"/>
      <w:r>
        <w:rPr>
          <w:rFonts w:ascii="Times New Roman" w:hAnsi="Times New Roman" w:cs="Times New Roman"/>
          <w:color w:val="000000"/>
        </w:rPr>
        <w:t>could the magistrate</w:t>
      </w:r>
      <w:proofErr w:type="gramEnd"/>
      <w:r>
        <w:rPr>
          <w:rFonts w:ascii="Times New Roman" w:hAnsi="Times New Roman" w:cs="Times New Roman"/>
          <w:color w:val="000000"/>
        </w:rPr>
        <w:t xml:space="preserve"> be satisfied that the failure of the witnesses to attend was not due to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fault or neglect on the part of the appellant? In fact it was he, as remarked, who should have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 them of the adjourned hearing date. Further, the magistrate duly considered whether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that the witness could give would be material to the case, and he found that it would not. And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record as it stood, it is evident that such evidence would not in the least have been material to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“Final Submission” to the Court of Appeal, the appellant raised, obviously as an afterthought, a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novel and highly technical point, submitting at para. 7,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Mwakasendo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Ag. J. ignored the fact that the judgment of the trial court should have been treated as null and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void in law, because it was passed before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closed and before both parties had addressed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as to their entitlements in law (see s. 208 of the C.P.C.). A trial is a test between the prosecution and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justice should be done for every party during the trial and that each party should be certified before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judgment is passed. A judgment is ruling of a dispute between two parties and any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in every trial in any criminal case shall be pronounced after the termination of the trial as prescribed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s. 170 and 171 (1) of the C.P.C. I submit any judgment passed before one party had closed its side would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contrary to the expressed intention by of the law in my opinion the judgment of the trial court is fatal it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occasions a failure of justice and it wouldn’t be said that the court acted within the meaning of s. 171 (1) of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C.P.C.”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Novelty however, is by no means fatal to a point raised on appeal, nor is a mere technicality, though it is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particularly persuasive, but being raised as an afterthought, is not calculated to add weight to it.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208 of the Criminal Procedure Code referred to, reads: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“208. The prosecutor or his advocate and the accused or his advocate shall be entitled to address the court in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same manner and order as in a trial under the provisions of this Code before the High Court.”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point raised is novel in that in close on a quarter of a century’s experience on the Bench in this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country, I cannot recall an accused when unrepresented by counsel ever making a closing address, nor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I ever heard of a court in practice informing an accused of such a right. I pause to remark that if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failure to inform an accused person of his right to address the court at the close of his </w:t>
      </w:r>
      <w:r>
        <w:rPr>
          <w:rFonts w:ascii="Times New Roman" w:hAnsi="Times New Roman" w:cs="Times New Roman"/>
          <w:color w:val="000000"/>
        </w:rPr>
        <w:lastRenderedPageBreak/>
        <w:t>case, is a fatal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omission in procedure, a hundred per cent of convictions in this country where the accused is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unrepresented by counsel, would thereby be invalidated. It may well be argued that an accused person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informed of such right, but as observed, I have never known this to be done in practice.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remarked earlier that this point raised was an afterthought, in that there is not the slightest reference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it in the original petition of appeal filed by the appellant, nor, I may add, in arguing this appeal before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court, has Mr. </w:t>
      </w:r>
      <w:proofErr w:type="spellStart"/>
      <w:r>
        <w:rPr>
          <w:rFonts w:ascii="Times New Roman" w:hAnsi="Times New Roman" w:cs="Times New Roman"/>
          <w:color w:val="000000"/>
        </w:rPr>
        <w:t>Chirwa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appellant, even referred to it.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his submission complaining of having been deprived of a right to address the court,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states that the prosecution was likewise so deprived. Thus, if there has been any irregularity, it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suffered by both sides so that each cancels out the other. In any event, the failure of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address the court, or of his having been informed of his right to address the court, cannot by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stretch be said to have resulted in any failure of justice, and it is certainly curable under s. 346 of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Code.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think sufficiently demonstrated, the magistrate cannot in the least be faulted for not adjourning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any further and least of all for not, as complained by the appellant, issuing any process for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attendance of his other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witnesses, nor, I should add, can the magistrate be faulted for not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informing the appellant of his right to address the court, as such practice is unheard of. And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failure to address the court, even if he had been informed of a right to do so and had availed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of such right, cannot as remarked, by any stretch be said to have occasioned any failure of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ground of appeal therefore fails.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propose to consider the only other substantial ground of appeal, and that is that the evidence of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witnesses who testified that the appellant had not solicited bribes from them, was inadmissible.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of all, I am by no means persuaded that this evidence was inadmissible, as once it is established,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was in this case, that the appellant received and accepted the money (in that even according to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own witness, the appellant had put the money in his pocket), then evidence of similar acts by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appellant, that is of soliciting bribes, became admissible in order to rebut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innocent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receipt on the part of the appellant, that the money was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thrust and “planted” on him as a trap. The evidence of similar acts, that is, that he had solicited bribes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other mason contractors, was admissible to prove his guilty intent that he received and accepted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in consequence of his having solicited it as a bribe. To my mind, this evidence of similar acts was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admissible.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I am wrong in so holding, the admission of such evidence would not be fatal to the conviction,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is expressly provided in s. 178 of the Evidence Act, 1967, that: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“178. The improper admission or rejection of evidence shall not be ground of itself for a new trial, or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reversal of any decision in any case, if it shall appear to the Court before which such objection is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raised that, independently of the evidence objected to and admitted, there was sufficient evidence to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justify the decision, or that if the rejected evidence had been received, it ought not to have varied the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decision.”</w:t>
      </w:r>
      <w:r w:rsidR="00946F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will be noted, the magistrate in considering and deciding the issues he had himself framed, in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passage from his judgment above set out in </w:t>
      </w:r>
      <w:proofErr w:type="spellStart"/>
      <w:r>
        <w:rPr>
          <w:rFonts w:ascii="Times New Roman" w:hAnsi="Times New Roman" w:cs="Times New Roman"/>
          <w:color w:val="000000"/>
        </w:rPr>
        <w:t>extenso</w:t>
      </w:r>
      <w:proofErr w:type="spellEnd"/>
      <w:r>
        <w:rPr>
          <w:rFonts w:ascii="Times New Roman" w:hAnsi="Times New Roman" w:cs="Times New Roman"/>
          <w:color w:val="000000"/>
        </w:rPr>
        <w:t>, did not make the slightest reference to this evidence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similar acts on the part of the appellant. It is thus abundantly clear that in coming to the conclusion 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did, the magistrate did not take this evidence of similar acts into consideration. And I will go further and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 that in my judgment, even if this evidence is rejected in its entirety, there is more than ample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the record to justify the conviction.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fault to be found with the magistrate’s judgment is his acquittal of the appellant on the first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count, that</w:t>
      </w:r>
      <w:proofErr w:type="gramEnd"/>
      <w:r>
        <w:rPr>
          <w:rFonts w:ascii="Times New Roman" w:hAnsi="Times New Roman" w:cs="Times New Roman"/>
          <w:color w:val="000000"/>
        </w:rPr>
        <w:t xml:space="preserve"> of soliciting a bribe, because he considered that corroboration was necessary. Whereas,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neither in law nor in practice does the evidence of </w:t>
      </w:r>
      <w:proofErr w:type="spellStart"/>
      <w:r>
        <w:rPr>
          <w:rFonts w:ascii="Times New Roman" w:hAnsi="Times New Roman" w:cs="Times New Roman"/>
          <w:color w:val="000000"/>
        </w:rPr>
        <w:t>Iddi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Seif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appellant solicited a bribe from him,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 corroboration, as it is not suggested that he was an accomplice. However, as the Republic has not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cross-appealed from this acquittal, there is nothing this court can do about it, beyond pointing out to the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magistrate, that no corroboration was necessary, and he improperly acquitted the appellant on the charge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soliciting a bribe.</w:t>
      </w:r>
      <w:r w:rsidR="00946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OEC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QC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 xml:space="preserve">,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Salaam)</w:t>
      </w:r>
    </w:p>
    <w:p w:rsidR="008219BB" w:rsidRDefault="008219BB" w:rsidP="0082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8219BB" w:rsidP="008219BB">
      <w:r>
        <w:rPr>
          <w:rFonts w:ascii="Times New Roman" w:hAnsi="Times New Roman" w:cs="Times New Roman"/>
          <w:i/>
          <w:iCs/>
          <w:color w:val="000000"/>
        </w:rPr>
        <w:t xml:space="preserve">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Dewji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Attorney)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BB"/>
    <w:rsid w:val="006B48C8"/>
    <w:rsid w:val="008219BB"/>
    <w:rsid w:val="009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D58DD-7698-4D9C-ADA7-ADCAD461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3257</Words>
  <Characters>18568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2018-07-05T13:35:00Z</dcterms:created>
  <dcterms:modified xsi:type="dcterms:W3CDTF">2018-07-13T13:23:00Z</dcterms:modified>
</cp:coreProperties>
</file>