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Mohan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Meakin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(K) Limited v Attorney General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September 2006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4267/91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Visram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Civil procedure – Striking out pleadings – On a consent order if a matter is </w:t>
      </w:r>
      <w:r>
        <w:rPr>
          <w:rFonts w:ascii="Times New Roman" w:hAnsi="Times New Roman" w:cs="Times New Roman"/>
          <w:color w:val="000000"/>
        </w:rPr>
        <w:t>res judicata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Application to amend a plaint to include special damages – When amendment of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pleadings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raises new issues.</w:t>
      </w:r>
    </w:p>
    <w:p w:rsidR="00DD0431" w:rsidRDefault="000B6902" w:rsidP="000B6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DD0431" w:rsidRDefault="00DD0431" w:rsidP="000B69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Visram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A brief background to this old litigation is as follows: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July 1990 the then Vice-President and Minister for Finance granted certain exemptions to Kenya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Wines Agency Limited (KWAL) which, according to the plaintiff, gave undue advantage to KWAL,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causing loss of business to its competitors. One such competitor, the plaintiff, filed a suit by way of a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dated 15 August 1991, seeking the following orders: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the exemption given by the Vice-President and Minister for Finance exempting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Kenya Wines Agency Limited from the Restrictive Trade Practices Monopolies and Price Control Act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communicated to the plaintiff vide the Commissioner for Monopolies and Price Commission letter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30 July 1990 is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ultra-vires </w:t>
      </w:r>
      <w:r>
        <w:rPr>
          <w:rFonts w:ascii="Times New Roman" w:hAnsi="Times New Roman" w:cs="Times New Roman"/>
          <w:color w:val="000000"/>
          <w:sz w:val="20"/>
          <w:szCs w:val="20"/>
        </w:rPr>
        <w:t>the Ministers Powers and therefore is null and void.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Damages.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Costs and interest of the suit at Court Rates.”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filed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21 February 1992 denying that the Minister had acted wrongfully, and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denying the claim for damages.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matter came before </w:t>
      </w:r>
      <w:proofErr w:type="spellStart"/>
      <w:r>
        <w:rPr>
          <w:rFonts w:ascii="Times New Roman" w:hAnsi="Times New Roman" w:cs="Times New Roman"/>
          <w:color w:val="000000"/>
        </w:rPr>
        <w:t>Walekhwa</w:t>
      </w:r>
      <w:proofErr w:type="spellEnd"/>
      <w:r>
        <w:rPr>
          <w:rFonts w:ascii="Times New Roman" w:hAnsi="Times New Roman" w:cs="Times New Roman"/>
          <w:color w:val="000000"/>
        </w:rPr>
        <w:t xml:space="preserve"> J on 6 May 1992 when a consent order was entered to the effect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“the exemption granted to Kenya Wines Agency Limited by the Vice-President and Minister for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Finance was null and void. It was further ordered that the issues of general damages would proceed to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hearing”.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5 June 2003, the parties recorded the following Consent Order before </w:t>
      </w:r>
      <w:proofErr w:type="spellStart"/>
      <w:r>
        <w:rPr>
          <w:rFonts w:ascii="Times New Roman" w:hAnsi="Times New Roman" w:cs="Times New Roman"/>
          <w:color w:val="000000"/>
        </w:rPr>
        <w:t>Mbito</w:t>
      </w:r>
      <w:proofErr w:type="spellEnd"/>
      <w:r>
        <w:rPr>
          <w:rFonts w:ascii="Times New Roman" w:hAnsi="Times New Roman" w:cs="Times New Roman"/>
          <w:color w:val="000000"/>
        </w:rPr>
        <w:t xml:space="preserve"> J: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“(1) By Consent, any application to amend the part in respect of damages caused to be filed by 28 June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Any Amended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relating to such amended part concerning damages claimed should be filed by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8 July 2003.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Any reply to the amended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filed by 14 July 2003.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(4) Any document that the plaintiff relies on with regard to the claim for damages to be served on the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defendant by 1 July 2003. The defendant to likewise serve any documents relied upon by 14 July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2003.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00"/>
          <w:sz w:val="20"/>
          <w:szCs w:val="20"/>
        </w:rPr>
        <w:t>(5) Hearing of the suit fixed for 24 and 25 July 2003 at 9am.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(6) Costs to be in the cause.”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deliberately chosen to incorporate herein the entire text of the above Consent Order which,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says, is “pivotal” to the application before this Court at this time.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Based on the above Consent Order, the plaintiff filed an application to amend its plaint on 20 June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2003, seeking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1 464 837 167 and outlining extensively the particulars giving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rise to those special damages, including loss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199 412 30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7 allegedly occasioned because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“forced” to sell some of its properties “below” market value in order to service its financial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obligations. It is instructive to note that there was no claim for special damages, and certainly none for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losses arising from sale of properties, pleaded in the original plaint. The only claim in the plaint was for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“general damages”. I will return to this issue later. Now, the plaintiff’s application to amend the plaint to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incorporate a claim for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1 464 837 167 was allowed by the Court (</w:t>
      </w:r>
      <w:proofErr w:type="spellStart"/>
      <w:r>
        <w:rPr>
          <w:rFonts w:ascii="Times New Roman" w:hAnsi="Times New Roman" w:cs="Times New Roman"/>
          <w:color w:val="000000"/>
        </w:rPr>
        <w:t>Aluoch</w:t>
      </w:r>
      <w:proofErr w:type="spellEnd"/>
      <w:r>
        <w:rPr>
          <w:rFonts w:ascii="Times New Roman" w:hAnsi="Times New Roman" w:cs="Times New Roman"/>
          <w:color w:val="000000"/>
        </w:rPr>
        <w:t xml:space="preserve"> J) on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27 June 2003 in default of appearance by the Attorney General on that day.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filed its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on 21 July 2003 essentially denying the plaintiff’s claim,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invoking the limitation period as it relates to the claim for special damages, and denying that the plaintiff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indeed suffered any damages.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that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is the subject of attack in this application. What is before me is an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dated 13 August 2003 brought by the plaintiff by way of a Chamber Summon under Order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VI, rule 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and Order VIA, rule 7 of the Civil Procedure Rules, seeking the following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That the defendant’s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18 July 2003 be struck out on the grounds that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is scandalous, frivolous and vexatious.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That the defendant’s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18 July 2003 be struck out as it is likely to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prejudice, embarrass or delay the fair trial of the action.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 xml:space="preserve">) That the defendant’s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18 July 2003 be struck out as the same constitutes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abuse of the process of the Court.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That pending the hearing and determination of this application the time for filing reply, if any, to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be suspended as the Court may direct.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based on the following grounds: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That</w:t>
      </w:r>
      <w:proofErr w:type="gramEnd"/>
      <w:r>
        <w:rPr>
          <w:rFonts w:ascii="Times New Roman" w:hAnsi="Times New Roman" w:cs="Times New Roman"/>
          <w:color w:val="000000"/>
        </w:rPr>
        <w:t xml:space="preserve"> the matters </w:t>
      </w:r>
      <w:r>
        <w:rPr>
          <w:rFonts w:ascii="Times New Roman" w:hAnsi="Times New Roman" w:cs="Times New Roman"/>
          <w:color w:val="000000"/>
        </w:rPr>
        <w:lastRenderedPageBreak/>
        <w:t xml:space="preserve">pleaded in paragraphs four, five and seven of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have already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canvassed before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and are barred by the doctrine of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 xml:space="preserve">)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wrongly purports to amend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other than the only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filed in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dated 21 February 1992 and filed on the same date.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(iii)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goes well beyond and grossly exceeds and offends the terms of the consent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recorded in this cause on 5 June 2003.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(iv) The</w:t>
      </w:r>
      <w:proofErr w:type="gramEnd"/>
      <w:r>
        <w:rPr>
          <w:rFonts w:ascii="Times New Roman" w:hAnsi="Times New Roman" w:cs="Times New Roman"/>
          <w:color w:val="000000"/>
        </w:rPr>
        <w:t xml:space="preserve">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does purport to amend a </w:t>
      </w:r>
      <w:proofErr w:type="spellStart"/>
      <w:r>
        <w:rPr>
          <w:rFonts w:ascii="Times New Roman" w:hAnsi="Times New Roman" w:cs="Times New Roman"/>
          <w:color w:val="000000"/>
        </w:rPr>
        <w:t>non existent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claimed to have been filed on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November 1992 and is therefore bad in law and inadmissible.</w:t>
      </w:r>
      <w:r w:rsidR="000B6902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(v)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raises issues of limitation, cause of action, jurisdiction, and liability all of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have been finally determined by this Court by its earlier rulings in this case and by the terms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 consent interlocutory judgment recorded in this case on 6 May 1992.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(vi) The</w:t>
      </w:r>
      <w:proofErr w:type="gramEnd"/>
      <w:r>
        <w:rPr>
          <w:rFonts w:ascii="Times New Roman" w:hAnsi="Times New Roman" w:cs="Times New Roman"/>
          <w:color w:val="000000"/>
        </w:rPr>
        <w:t xml:space="preserve">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 18 July 2003 is a replica of the defendant’s proposed amended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attached to its application dated 4 November 1992 for leave to Amend its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dated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21 February 1992 which application was dismissed with costs by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on 3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December 1992.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 xml:space="preserve">) The attempt to introduce the proposed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4 November 1992 which was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 by this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is improper and impermissible and is therefore a nullity and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be struck out and expunged from this record as such.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and</w:t>
      </w:r>
      <w:proofErr w:type="gramEnd"/>
      <w:r>
        <w:rPr>
          <w:rFonts w:ascii="Times New Roman" w:hAnsi="Times New Roman" w:cs="Times New Roman"/>
          <w:color w:val="000000"/>
        </w:rPr>
        <w:t xml:space="preserve"> is supported by the annexed affidavit of John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>, the Chief Accountant of the plaintiff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Now, what is instructive to note is that the applicant seeks to strike out the entire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18 July 2003, not just the alleged offending paragraphs. Of the four prayers in the application,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first three prayers seek the same, striking out of the entire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albeit for different reasons,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while the last prayer seeks to delay the time for filing reply to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Clearly, without even going into the merits of the application, no court of law would strike out a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pleading where only some paragraphs are said to be “offensive”. On that ground alone, this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cannot, and will not, be allowed. The defendant’s right to deny the claim, and in this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 case the newly pleaded special damages, cannot be taken away by throwing out the entire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However, let me examine the merits of this application as it relates to the alleged offending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paragraphs. According to the grounds stated on the body of the application, these are paragraphs four,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five and seven which read as follows: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“(4) In further answer to the said paragraph the defendant contends that if the plaintiff suffered any damage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loss the same is not recoverable in view of the provisions of section 20 of the Restrictive Trade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Practices Monopolies and Price Control Act and section 13A of the Government Proceedings Act.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(5) The defendant avers that the Minister of Finance has powers under section 5(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the Restrictive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Trade Practices Monopolies and Price Control Act (Chapter 14 of 1988) to exempt Kenya Wine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Agencies Limited from Provisions of the Act.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(7) The defendant further contends that the plaintiff having not appeal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to the Tribunal as required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section 20 of the Restrictive Trade Practices Monopolies and Price Control Act, his right has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extinguished by lapse of time and the Court has no jurisdiction to entertain the suit.”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So, then, what is so offensive about these three paragraphs in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color w:val="000000"/>
        </w:rPr>
        <w:t>, lead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plaintiff/applicant, has submitted that the issues raised in those paragraphs are </w:t>
      </w:r>
      <w:r>
        <w:rPr>
          <w:rFonts w:ascii="Times New Roman" w:hAnsi="Times New Roman" w:cs="Times New Roman"/>
          <w:i/>
          <w:iCs/>
          <w:color w:val="000000"/>
        </w:rPr>
        <w:t>res</w:t>
      </w:r>
      <w:r w:rsidR="000B690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judicata </w:t>
      </w:r>
      <w:r>
        <w:rPr>
          <w:rFonts w:ascii="Times New Roman" w:hAnsi="Times New Roman" w:cs="Times New Roman"/>
          <w:color w:val="000000"/>
        </w:rPr>
        <w:t>having been previously determined by the Court. He cites the Consent Order recorded before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Walekhwa</w:t>
      </w:r>
      <w:proofErr w:type="spellEnd"/>
      <w:r>
        <w:rPr>
          <w:rFonts w:ascii="Times New Roman" w:hAnsi="Times New Roman" w:cs="Times New Roman"/>
          <w:color w:val="000000"/>
        </w:rPr>
        <w:t xml:space="preserve"> J on 6 May 1992 wherein the Attorney General admitted that the exemption given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KWAL by the then Vice President and Minister for Finance was “null and void”. According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color w:val="000000"/>
        </w:rPr>
        <w:t>, the issue of liability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“settled” by that Consent Order, and that the parties were directed to proceed to the formal proof of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Secondly,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Walekhwa</w:t>
      </w:r>
      <w:proofErr w:type="spellEnd"/>
      <w:r>
        <w:rPr>
          <w:rFonts w:ascii="Times New Roman" w:hAnsi="Times New Roman" w:cs="Times New Roman"/>
          <w:color w:val="000000"/>
        </w:rPr>
        <w:t xml:space="preserve"> J’s ruling of 19 May 1992 “settled” the issue raised in paragraph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five of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wherein the defendant had invoked the provisions of the Restrictive Trade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Practices Monopolies and Price Control Act (Chapter 14 of 1988).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two other Judges had handed down rulings – effectively stating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issue of liability having been settled, the matter should proceed to formal proof. These rulings are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dated 3 December 1992 by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Mango J and 8 October 1999 by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 (as 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was).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submitted that the issues raised in the offending paragraphs were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and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cited several authorities relating to the doctrine of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and the principles governing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striking out of pleadings. Briefly, he relied on the following: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Gachini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[1978] KLR 69 a second application to set aside the judgment was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held to be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 The Court held that the proper way for the applicant was to challenge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first application by an appeal against it or by review.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Halsbury Laws of England </w:t>
      </w:r>
      <w:r>
        <w:rPr>
          <w:rFonts w:ascii="Times New Roman" w:hAnsi="Times New Roman" w:cs="Times New Roman"/>
          <w:color w:val="000000"/>
        </w:rPr>
        <w:t>(4ed) Volume 16 paragraph 858–862 which reads (at paragraph 974):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doctrine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res judicata </w:t>
      </w:r>
      <w:r>
        <w:rPr>
          <w:rFonts w:ascii="Times New Roman" w:hAnsi="Times New Roman" w:cs="Times New Roman"/>
          <w:color w:val="000000"/>
          <w:sz w:val="20"/>
          <w:szCs w:val="20"/>
        </w:rPr>
        <w:t>is not a technical doctrine applicable only to records; it is a fundamental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doctrine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 all courts that there must be an end to litigation.”</w:t>
      </w:r>
      <w:r w:rsidR="000B690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Kasereka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Gateway Insurance Company Limited </w:t>
      </w:r>
      <w:r>
        <w:rPr>
          <w:rFonts w:ascii="Times New Roman" w:hAnsi="Times New Roman" w:cs="Times New Roman"/>
          <w:color w:val="000000"/>
        </w:rPr>
        <w:t>[2003] 2 EA 502 where the plaint was struck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for being frivolous, vexatious within the meaning of Order VI, rule 13(1)(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Civil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Rules.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Melika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Mbuvi </w:t>
      </w:r>
      <w:r>
        <w:rPr>
          <w:rFonts w:ascii="Times New Roman" w:hAnsi="Times New Roman" w:cs="Times New Roman"/>
          <w:color w:val="000000"/>
        </w:rPr>
        <w:t xml:space="preserve">[2001] 1 EA 121 the Court relied on the doctrine of </w:t>
      </w:r>
      <w:r>
        <w:rPr>
          <w:rFonts w:ascii="Times New Roman" w:hAnsi="Times New Roman" w:cs="Times New Roman"/>
          <w:i/>
          <w:iCs/>
          <w:color w:val="000000"/>
        </w:rPr>
        <w:t>res judicata.</w:t>
      </w:r>
      <w:r w:rsidR="000B690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(5) In </w:t>
      </w:r>
      <w:r>
        <w:rPr>
          <w:rFonts w:ascii="Times New Roman" w:hAnsi="Times New Roman" w:cs="Times New Roman"/>
          <w:i/>
          <w:iCs/>
          <w:color w:val="000000"/>
        </w:rPr>
        <w:t xml:space="preserve">Ashmore v British Coal Corporation </w:t>
      </w:r>
      <w:r>
        <w:rPr>
          <w:rFonts w:ascii="Times New Roman" w:hAnsi="Times New Roman" w:cs="Times New Roman"/>
          <w:color w:val="000000"/>
        </w:rPr>
        <w:t>[1990] 2 QB 338 pleadings were struck out on the ground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same is an abuse of the court process.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 xml:space="preserve">Bullen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Leake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(12ed) was relied on to urge the court that it had inherent jurisdiction to strike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 pleadings.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(7) </w:t>
      </w:r>
      <w:r>
        <w:rPr>
          <w:rFonts w:ascii="Times New Roman" w:hAnsi="Times New Roman" w:cs="Times New Roman"/>
          <w:i/>
          <w:iCs/>
          <w:color w:val="000000"/>
        </w:rPr>
        <w:t>Spencer, Bower, Turner and Handley</w:t>
      </w:r>
      <w:r>
        <w:rPr>
          <w:rFonts w:ascii="Times New Roman" w:hAnsi="Times New Roman" w:cs="Times New Roman"/>
          <w:color w:val="000000"/>
        </w:rPr>
        <w:t xml:space="preserve">, “The doctrine of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” (3ed) at 86 was cited to urge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finding on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 that paragraph two of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also raised “new issues” of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 and should be disallowed.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color w:val="000000"/>
        </w:rPr>
        <w:t>, for the Attorney General, argued that the Amended Plaint raised new and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substantial issues which were not </w:t>
      </w:r>
      <w:r>
        <w:rPr>
          <w:rFonts w:ascii="Times New Roman" w:hAnsi="Times New Roman" w:cs="Times New Roman"/>
          <w:i/>
          <w:iCs/>
          <w:color w:val="000000"/>
        </w:rPr>
        <w:t xml:space="preserve">res judicata </w:t>
      </w:r>
      <w:r>
        <w:rPr>
          <w:rFonts w:ascii="Times New Roman" w:hAnsi="Times New Roman" w:cs="Times New Roman"/>
          <w:color w:val="000000"/>
        </w:rPr>
        <w:t>and that the defendant had the right to respond to those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issues.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did just that. He relied on </w:t>
      </w:r>
      <w:r>
        <w:rPr>
          <w:rFonts w:ascii="Times New Roman" w:hAnsi="Times New Roman" w:cs="Times New Roman"/>
          <w:i/>
          <w:iCs/>
          <w:color w:val="000000"/>
        </w:rPr>
        <w:t xml:space="preserve">Co-operative Merchant Bank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Wekesa</w:t>
      </w:r>
      <w:proofErr w:type="spellEnd"/>
      <w:r w:rsidR="000B690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[1999] LLR 929 (CAK) where the Court held that striking out was a draconian action which should only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taken in plain cases. The </w:t>
      </w:r>
      <w:r>
        <w:rPr>
          <w:rFonts w:ascii="Times New Roman" w:hAnsi="Times New Roman" w:cs="Times New Roman"/>
          <w:i/>
          <w:iCs/>
          <w:color w:val="000000"/>
        </w:rPr>
        <w:t xml:space="preserve">DT Dobie and Company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[1982] 1 KLR 1 was relied on to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urge the court that the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raised triable issues and could not be struck down.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are paragraphs two, four, five and seven “offensive” in that they raise new issues or issues that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barred by the doctrine of </w:t>
      </w:r>
      <w:r>
        <w:rPr>
          <w:rFonts w:ascii="Times New Roman" w:hAnsi="Times New Roman" w:cs="Times New Roman"/>
          <w:i/>
          <w:iCs/>
          <w:color w:val="000000"/>
        </w:rPr>
        <w:t>res judicata</w:t>
      </w:r>
      <w:r>
        <w:rPr>
          <w:rFonts w:ascii="Times New Roman" w:hAnsi="Times New Roman" w:cs="Times New Roman"/>
          <w:color w:val="000000"/>
        </w:rPr>
        <w:t>, or have been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“settled” through Consent Orders that have been entered into by the parties? I do not think so. Those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Orders and Rulings related to the original plaint filed on 15 August 1991. The Amended Plaint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on 30 June 2003 raised, in my view, substantially new issues that had not been pleaded in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original plaint. As I said before, the plaintiff, by this new amendment, sought special damages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464 837 167, including loss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199 412 307 allegedly occasioned because it was “forced” to sell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of its properties below market value in order to service its financial obligations. There were no such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claims in the original Plaint where only “general damages” were claimed. The defendant was now faced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a whole new claim of “special damages” and was fully entitled to respond to it, including invoking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 statutory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it had in relation to that new claim. In other words, it was fully entitled to claim,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it did in its Amended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that that particular claim was statute barred; that the Statutory Notice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Government Proceedings Act in respect of that claim had not been issued and served on the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General; and that the provisions of Restrictive Trade Practices Monopolies and Price Control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Act had not been complied with. In my humble view, the defendant is entitled to raise these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, and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trial judge to determine its validity. I disagree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Consent Order of 5 June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2003 recorded before </w:t>
      </w:r>
      <w:proofErr w:type="spellStart"/>
      <w:r>
        <w:rPr>
          <w:rFonts w:ascii="Times New Roman" w:hAnsi="Times New Roman" w:cs="Times New Roman"/>
          <w:color w:val="000000"/>
        </w:rPr>
        <w:t>Mbito</w:t>
      </w:r>
      <w:proofErr w:type="spellEnd"/>
      <w:r>
        <w:rPr>
          <w:rFonts w:ascii="Times New Roman" w:hAnsi="Times New Roman" w:cs="Times New Roman"/>
          <w:color w:val="000000"/>
        </w:rPr>
        <w:t xml:space="preserve"> J precluded the defendant from raising any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it had in the face of a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new and changed claim advanced by the plaintiff. That Consent Order does not state anywhere,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0B6902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urged me to believe, that the defendant was restricted to amendments “relating to damages only”.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see the word “only” there, and even if it were so, it is in the inherent right of any litigant to apply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amendments at any stage of the proceedings, and for the Court to determine any such application on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merits.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both parties would agree, and as a whole chain of cases indicate, striking out is a draconian action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should be taken only in plain cases. This certainly is not one of those plain and straightforward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cases. The claim here runs into more than a billion shillings of tax payers’ money. The interest of justice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demands that the defendant be allowed to present its answer to the claims that are made. Accordingly,</w:t>
      </w:r>
      <w:r w:rsidR="000B69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for the reasons outlined, this application is dismissed with costs to the defendant.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DD0431" w:rsidRDefault="00DD0431" w:rsidP="00DD0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Nagpal</w:t>
      </w:r>
      <w:proofErr w:type="spellEnd"/>
    </w:p>
    <w:p w:rsidR="00AB7022" w:rsidRDefault="00DD0431" w:rsidP="00DD0431">
      <w:r>
        <w:rPr>
          <w:rFonts w:ascii="Times New Roman" w:hAnsi="Times New Roman" w:cs="Times New Roman"/>
          <w:color w:val="000000"/>
        </w:rPr>
        <w:t>For the respondent: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31"/>
    <w:rsid w:val="000B6902"/>
    <w:rsid w:val="00AB7022"/>
    <w:rsid w:val="00D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E9AEB-1890-4645-B934-CC39A8D5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2018-07-05T06:42:00Z</dcterms:created>
  <dcterms:modified xsi:type="dcterms:W3CDTF">2018-07-13T13:21:00Z</dcterms:modified>
</cp:coreProperties>
</file>