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Mpaka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Road Development Ltd v Kana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[2004] 1 EA 161 (CCK)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 of Kenya at Nairobi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29 May 2001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318/00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Practice – Pleadings – Striking out pleadings as being frivolous, scandalous and vexatious – Order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VI, rule 13(1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)(</w:t>
      </w:r>
      <w:proofErr w:type="gramEnd"/>
      <w:r>
        <w:rPr>
          <w:rFonts w:ascii="Times New Roman" w:hAnsi="Times New Roman" w:cs="Times New Roman"/>
          <w:color w:val="000000"/>
        </w:rPr>
        <w:t>b</w:t>
      </w:r>
      <w:r>
        <w:rPr>
          <w:rFonts w:ascii="Times New Roman" w:hAnsi="Times New Roman" w:cs="Times New Roman"/>
          <w:i/>
          <w:iCs/>
          <w:color w:val="000000"/>
        </w:rPr>
        <w:t>) – Civil Procedure Rules.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Tenancy – Concurrent tenancies in respect of the same premises – Whether concurrent tenancies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tenable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 law.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Tenancy – Whether allegation of concurrent tenancies in respect of the same premises is frivolous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and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vexatious – Pleadings – Whether pleadings may be struck out for allegation of concurrent tenancies.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[4] Words and phrases – Frivolous, scandalous and vexatious, meaning of.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who is the Plaintiff in the main suit, filed suit against the Defendant for arrears of rent.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Defendant filed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counterclaim. In the counterclaim the Defendant was joined by a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limited</w:t>
      </w:r>
      <w:proofErr w:type="gramEnd"/>
      <w:r>
        <w:rPr>
          <w:rFonts w:ascii="Times New Roman" w:hAnsi="Times New Roman" w:cs="Times New Roman"/>
          <w:color w:val="000000"/>
        </w:rPr>
        <w:t xml:space="preserve"> liability company, of which the Defendant was the director, as a co-Plaintiff. In the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162 of [2004] 1 EA 161 (CCK)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counterclaim</w:t>
      </w:r>
      <w:proofErr w:type="gramEnd"/>
      <w:r>
        <w:rPr>
          <w:rFonts w:ascii="Times New Roman" w:hAnsi="Times New Roman" w:cs="Times New Roman"/>
          <w:color w:val="000000"/>
        </w:rPr>
        <w:t>, the two Plaintiffs claimed that the Plaintiff in the main suit had sent an auctioneer, who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was</w:t>
      </w:r>
      <w:proofErr w:type="gramEnd"/>
      <w:r>
        <w:rPr>
          <w:rFonts w:ascii="Times New Roman" w:hAnsi="Times New Roman" w:cs="Times New Roman"/>
          <w:color w:val="000000"/>
        </w:rPr>
        <w:t xml:space="preserve"> also joined in the counterclaim as a co-Defendant, to restrain the premises. The auctioneer had then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locked</w:t>
      </w:r>
      <w:proofErr w:type="gramEnd"/>
      <w:r>
        <w:rPr>
          <w:rFonts w:ascii="Times New Roman" w:hAnsi="Times New Roman" w:cs="Times New Roman"/>
          <w:color w:val="000000"/>
        </w:rPr>
        <w:t xml:space="preserve"> the doors to the premises, causing the co-Plaintiffs to lose business. The Second Plaintiff in the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counterclaim</w:t>
      </w:r>
      <w:proofErr w:type="gramEnd"/>
      <w:r>
        <w:rPr>
          <w:rFonts w:ascii="Times New Roman" w:hAnsi="Times New Roman" w:cs="Times New Roman"/>
          <w:color w:val="000000"/>
        </w:rPr>
        <w:t xml:space="preserve"> also pleaded that the distress was illegal and excessive.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Plaintiff in the main suit filed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to counterclaim and applied under Order VI, rule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13(1)(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 xml:space="preserve">) and Order XXXV, rule 1 of the Civil Procedure Rules for striking out of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counterclaim</w:t>
      </w:r>
      <w:proofErr w:type="gramEnd"/>
      <w:r>
        <w:rPr>
          <w:rFonts w:ascii="Times New Roman" w:hAnsi="Times New Roman" w:cs="Times New Roman"/>
          <w:color w:val="000000"/>
        </w:rPr>
        <w:t xml:space="preserve"> and summary judgment. The Plaintiff averred that both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counterclaim were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scandalous</w:t>
      </w:r>
      <w:proofErr w:type="gramEnd"/>
      <w:r>
        <w:rPr>
          <w:rFonts w:ascii="Times New Roman" w:hAnsi="Times New Roman" w:cs="Times New Roman"/>
          <w:color w:val="000000"/>
        </w:rPr>
        <w:t>, frivolous and vexatious because they disclosed the existence of two concurrent tenancies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over</w:t>
      </w:r>
      <w:proofErr w:type="gramEnd"/>
      <w:r>
        <w:rPr>
          <w:rFonts w:ascii="Times New Roman" w:hAnsi="Times New Roman" w:cs="Times New Roman"/>
          <w:color w:val="000000"/>
        </w:rPr>
        <w:t xml:space="preserve"> the same premises.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>A matter would only be scandalous, frivolous and vexatious if it would not be admissible in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evidence</w:t>
      </w:r>
      <w:proofErr w:type="gramEnd"/>
      <w:r>
        <w:rPr>
          <w:rFonts w:ascii="Times New Roman" w:hAnsi="Times New Roman" w:cs="Times New Roman"/>
          <w:color w:val="000000"/>
        </w:rPr>
        <w:t xml:space="preserve"> to show the truth of any allegation in the pleading which is sought be impugned, for example,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imputation</w:t>
      </w:r>
      <w:proofErr w:type="gramEnd"/>
      <w:r>
        <w:rPr>
          <w:rFonts w:ascii="Times New Roman" w:hAnsi="Times New Roman" w:cs="Times New Roman"/>
          <w:color w:val="000000"/>
        </w:rPr>
        <w:t xml:space="preserve"> of character where character is not in issue. A pleading is frivolous if it lacks seriousness. It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would</w:t>
      </w:r>
      <w:proofErr w:type="gramEnd"/>
      <w:r>
        <w:rPr>
          <w:rFonts w:ascii="Times New Roman" w:hAnsi="Times New Roman" w:cs="Times New Roman"/>
          <w:color w:val="000000"/>
        </w:rPr>
        <w:t xml:space="preserve"> be vexatious if it annoys or tends to annoy. It would annoy or tend to annoy if it is not serious or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contains</w:t>
      </w:r>
      <w:proofErr w:type="gramEnd"/>
      <w:r>
        <w:rPr>
          <w:rFonts w:ascii="Times New Roman" w:hAnsi="Times New Roman" w:cs="Times New Roman"/>
          <w:color w:val="000000"/>
        </w:rPr>
        <w:t xml:space="preserve"> scandalous matter, irrelevant to the action or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 A scandalous and/or frivolous pleading is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ipso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facto </w:t>
      </w:r>
      <w:r>
        <w:rPr>
          <w:rFonts w:ascii="Times New Roman" w:hAnsi="Times New Roman" w:cs="Times New Roman"/>
          <w:color w:val="000000"/>
        </w:rPr>
        <w:t>vexatious.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There was nothing scandalous about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counterclaim. The claim as to tenancy by the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First and Second Plaintiffs in the counterclaim connoted two simultaneous tenancies. There could not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have</w:t>
      </w:r>
      <w:proofErr w:type="gramEnd"/>
      <w:r>
        <w:rPr>
          <w:rFonts w:ascii="Times New Roman" w:hAnsi="Times New Roman" w:cs="Times New Roman"/>
          <w:color w:val="000000"/>
        </w:rPr>
        <w:t xml:space="preserve"> been concurrent tenancies in respect of the same premises and tenancies could not have existed in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alternative. The pleading was frivolous and therefore vexatious.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counterclaim was struck out and judgment awarded to the Plaintiff in the original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suit</w:t>
      </w:r>
      <w:proofErr w:type="gramEnd"/>
      <w:r>
        <w:rPr>
          <w:rFonts w:ascii="Times New Roman" w:hAnsi="Times New Roman" w:cs="Times New Roman"/>
          <w:color w:val="000000"/>
        </w:rPr>
        <w:t>. It was not necessary to consider the application for summary judgment. The cases cited below were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considered</w:t>
      </w:r>
      <w:proofErr w:type="gramEnd"/>
      <w:r>
        <w:rPr>
          <w:rFonts w:ascii="Times New Roman" w:hAnsi="Times New Roman" w:cs="Times New Roman"/>
          <w:color w:val="000000"/>
        </w:rPr>
        <w:t xml:space="preserve"> but not applied.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DT Dobie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Muchina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[1978] LLR 9 (CAK)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Shah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Panachand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Velji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[1969] EA 194</w:t>
      </w:r>
    </w:p>
    <w:p w:rsidR="00A033DA" w:rsidRDefault="00A033DA" w:rsidP="00A03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575C55" w:rsidRDefault="00A033DA" w:rsidP="00A033DA">
      <w:r>
        <w:rPr>
          <w:rFonts w:ascii="Times New Roman" w:hAnsi="Times New Roman" w:cs="Times New Roman"/>
          <w:i/>
          <w:iCs/>
          <w:color w:val="000000"/>
        </w:rPr>
        <w:lastRenderedPageBreak/>
        <w:t>Wenlock v</w:t>
      </w:r>
      <w:bookmarkStart w:id="0" w:name="_GoBack"/>
      <w:bookmarkEnd w:id="0"/>
    </w:p>
    <w:sectPr w:rsidR="0057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DA"/>
    <w:rsid w:val="00575C55"/>
    <w:rsid w:val="00A0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9A186-A8D8-47F0-8557-D9639175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2018-07-04T17:49:00Z</dcterms:created>
  <dcterms:modified xsi:type="dcterms:W3CDTF">2018-07-04T17:50:00Z</dcterms:modified>
</cp:coreProperties>
</file>