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Mpaka Road Development Ltd v Kana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8"/>
          <w:szCs w:val="28"/>
        </w:rPr>
      </w:pPr>
      <w:r>
        <w:rPr>
          <w:rFonts w:ascii="Times New Roman" w:hAnsi="Times New Roman" w:cs="Times New Roman"/>
          <w:color w:val="000080"/>
          <w:sz w:val="28"/>
          <w:szCs w:val="28"/>
        </w:rPr>
        <w:t>[2004] 1 EA 161 (CCK)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Milimani Commercial Courts of Kenya at Nairobi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29 May 2001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318/00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Ringera J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Summarised by: </w:t>
      </w:r>
      <w:r>
        <w:rPr>
          <w:rFonts w:ascii="Times New Roman" w:hAnsi="Times New Roman" w:cs="Times New Roman"/>
          <w:color w:val="000000"/>
        </w:rPr>
        <w:t>M Kibanga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Practice – Pleadings – Striking out pleadings as being frivolous, scandalous and vexatious – Order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VI, rule 13(1)(</w:t>
      </w:r>
      <w:r>
        <w:rPr>
          <w:rFonts w:ascii="Times New Roman" w:hAnsi="Times New Roman" w:cs="Times New Roman"/>
          <w:color w:val="000000"/>
        </w:rPr>
        <w:t>b</w:t>
      </w:r>
      <w:r>
        <w:rPr>
          <w:rFonts w:ascii="Times New Roman" w:hAnsi="Times New Roman" w:cs="Times New Roman"/>
          <w:i/>
          <w:iCs/>
          <w:color w:val="000000"/>
        </w:rPr>
        <w:t>) – Civil Procedure Rules.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Tenancy – Concurrent tenancies in respect of the same premises – Whether concurrent tenancies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tenable in law.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Tenancy – Whether allegation of concurrent tenancies in respect of the same premises is frivolous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and vexatious – Pleadings – Whether pleadings may be struck out for allegation of concurrent tenancies.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[4] Words and phrases – Frivolous, scandalous and vexatious, meaning of.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Applicant who is the Plaintiff in the main suit, filed suit against the Defendant for arrears of rent.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Defendant filed a defence and counterclaim. In the counterclaim the Defendant was joined by a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limited liability company, of which the Defendant was the director, as a co-Plaintiff. In the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162 of [2004] 1 EA 161 (CCK)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counterclaim, the two Plaintiffs claimed that the Plaintiff in the main suit had sent an auctioneer, who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was also joined in the counterclaim as a co-Defendant, to restrain the premises. The auctioneer had then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locked the doors to the premises, causing the co-Plaintiffs to lose business. The Second Plaintiff in the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counterclaim also pleaded that the distress was illegal and excessive.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 in the main suit filed his defence to counterclaim and applied under Order VI, rule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13(1)(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and Order XXXV, rule 1 of the Civil Procedure Rules for striking out of the defence and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counterclaim and summary judgment. The Plaintiff averred that both the defence and counterclaim were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scandalous, frivolous and vexatious because they disclosed the existence of two concurrent tenancies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over the same premises.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– </w:t>
      </w:r>
      <w:r>
        <w:rPr>
          <w:rFonts w:ascii="Times New Roman" w:hAnsi="Times New Roman" w:cs="Times New Roman"/>
          <w:color w:val="000000"/>
        </w:rPr>
        <w:t>A matter would only be scandalous, frivolous and vexatious if it would not be admissible in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evidence to show the truth of any allegation in the pleading which is sought be impugned, for example,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imputation of character where character is not in issue. A pleading is frivolous if it lacks seriousness. It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would be vexatious if it annoys or tends to annoy. It would annoy or tend to annoy if it is not serious or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contains scandalous matter, irrelevant to the action or defence. A scandalous and/or frivolous pleading is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ipso facto </w:t>
      </w:r>
      <w:r>
        <w:rPr>
          <w:rFonts w:ascii="Times New Roman" w:hAnsi="Times New Roman" w:cs="Times New Roman"/>
          <w:color w:val="000000"/>
        </w:rPr>
        <w:t>vexatious.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 was nothing scandalous about the defence and counterclaim. The claim as to tenancy by the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First and Second Plaintiffs in the counterclaim connoted two simultaneous tenancies. There could not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have been concurrent tenancies in respect of the same premises and tenancies could not have existed in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alternative. The pleading was frivolous and therefore vexatious.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defence and counterclaim was struck out and judgment awarded to the Plaintiff in the original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suit. It was not necessary to consider the application for summary judgment. The cases cited below were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 but not applied.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ruling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explained;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DT Dobie v Muchina </w:t>
      </w:r>
      <w:r>
        <w:rPr>
          <w:rFonts w:ascii="Times New Roman" w:hAnsi="Times New Roman" w:cs="Times New Roman"/>
          <w:color w:val="000000"/>
        </w:rPr>
        <w:t>[1978] LLR 9 (CAK)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Shah Panachand and Co v Velji and another </w:t>
      </w:r>
      <w:r>
        <w:rPr>
          <w:rFonts w:ascii="Times New Roman" w:hAnsi="Times New Roman" w:cs="Times New Roman"/>
          <w:color w:val="000000"/>
        </w:rPr>
        <w:t>[1969] EA 194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lastRenderedPageBreak/>
        <w:t xml:space="preserve">Wenlock v Moloney </w:t>
      </w:r>
      <w:r>
        <w:rPr>
          <w:rFonts w:ascii="Times New Roman" w:hAnsi="Times New Roman" w:cs="Times New Roman"/>
          <w:color w:val="000000"/>
        </w:rPr>
        <w:t>[1965] 1 WLR 1235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Ringera J: </w:t>
      </w:r>
      <w:r>
        <w:rPr>
          <w:rFonts w:ascii="Times New Roman" w:hAnsi="Times New Roman" w:cs="Times New Roman"/>
          <w:color w:val="000000"/>
        </w:rPr>
        <w:t>By an application in the form of a summons in chambers filed in court on 29 March 2001,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 seeks the striking out of the Defendant’s statement of defence and counterclaim as well as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counterclaim by a limited liability company of which the Defendant is a director. Summary judgment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is also sought against the Defendant. The application is expressed to be brought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163 of [2004] 1 EA 161 (CCK)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under Order VI, rule 13(1)(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and Order XXXV, rule 1 of the Civil Procedure Rules. The former gives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court discretion at any stage of the proceedings to strike out or amend any pleading on the ground that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 scandalous, frivolous or vexatious and the latter allows a plaintiff to apply for summary judgment in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suits where the relief claimed is a liquidated demand or recovery of land, with or without a claim for rent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 mesne profits.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genesis of the application is a plaint filed in court in which the Plaintiff claims from the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Defendant, one Abdul Gafur Kana trading as Anil Kapuri Pan Coffee House the sum of KShs 1 119 349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being arrears of rent due and owing from the Defendant under a lease. The lease between the parties is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pleaded in paragraph 3 of the plaint to have been for five years and six months with effect from 1 January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1994.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Defendant has filed a defence. He has also pleaded a set off and counterclaim. In the set off and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counterclaim he is joined by Anil Kapoori Pan Limited, of which he is a director. In the defence, the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Defendant admits the existence and particulars of the lease pleaded by the Plaintiff. He also pleads that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Defendant instructed Eastern Auctioneers to levy distress against the Defendant for the recovery of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amounts due and owing in respect of arrears of rent who in executing those instructions placed padlocks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the outer doors and changed the locks to the demised premises thereby denying the Defendant access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thereto resulting in the constructive eviction of the Defendant from the premises. The Defendant further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pleads, in the alternative, that by denying him entry and access to the demised premises, the Plaintiff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purported in effect to forfeit the lease illegally. The Defendant further pleaded loss and damage arising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from alleged illegal distress and forfeiture. He also denies that he is indebted to the Plaintiff as claimed in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 or at all. Then in paragraph 13, the Defendant pleads in the alternative and without prejudice to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above averments which are contained in paragraphs 2–12, that he is not liable to the Plaintiff as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claimed in the plaint for the reason that subsequent to the execution of the admitted lease the Defendant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incorporated Anil Kapoori Pan as a limited liability company for the express purpose of carrying on the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business of a restaurant and coffee shop previously carried on by him and the said company with the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knowledge and implicit consent of the Plaintiff continued to carry on business in the demised premises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thereby becoming a controlled tenant within the meaning of the Landlord and Tenant Act (Chapter 301)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the Laws of Kenya. He therefore prays for the dismissal of the suit.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counterclaim, the Defendant in the original action sues as the First Plaintiff and his limited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liability company sues as the Second Plaintiff. The Plaintiff in the original action is sued as the First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Defendant and Eastern Auctioneers is sued as the Second Defendant. The Plaintiffs repeat paragraphs 3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13 of the defence by way of set off and counterclaim. It is then averred that the distress against the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Second Plaintiff was unlawful and excessive. It is further averred that the Defendants locked the demised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premises and changed locks thereby denying the Plaintiffs access thereto and the Second Plaintiff was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thereafter unable to continue with its business of a restaurant and coffee shop. Constructive eviction of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Second Plaintiff and unlawful forfeiture against it are also pleaded. In paragraphs 27, 28 and 29, the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Plaintiffs aver that they have been prevented from carrying on their business and have suffered loss and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damage, they have been humiliated and they have suffered mental anguish and stress. They claim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aggravated damages, damages for unlawful distress, damages for unlawful forfeiture and eviction,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general damages and costs of the counterclaim.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164 of [2004] 1 EA 161 (CCK)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complete the state of pleadings, it should be indicated that the Defendants in the counterclaim have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filed a defence and a reply to the said counterclaim. The said defence and counterclaim were said to be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out of time but in any case, as will presently appear, the determination of this application does not turn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on the contents of the said defence and reply to the counterclaim. Having set out the background of the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application, it is now convenient to consider the application itself.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application is supported by the affidavits of Dr Fitzval Remedios Santana de Souza, the managing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director of the Applicant company, and Mr Josephat Musila Mutua who carries on business under the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name and style of Eastern Auctioneers, the Second Defendant in the counterclaim. There is a replying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affidavit by Abdul Gaful Kana, the Respondent.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application was canvassed before me on 2 May 2001 by Mr </w:t>
      </w:r>
      <w:r>
        <w:rPr>
          <w:rFonts w:ascii="Times New Roman" w:hAnsi="Times New Roman" w:cs="Times New Roman"/>
          <w:i/>
          <w:iCs/>
          <w:color w:val="000000"/>
        </w:rPr>
        <w:t>Oyatsi</w:t>
      </w:r>
      <w:r>
        <w:rPr>
          <w:rFonts w:ascii="Times New Roman" w:hAnsi="Times New Roman" w:cs="Times New Roman"/>
          <w:color w:val="000000"/>
        </w:rPr>
        <w:t>, counsel for the Applicant,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and Mr </w:t>
      </w:r>
      <w:r>
        <w:rPr>
          <w:rFonts w:ascii="Times New Roman" w:hAnsi="Times New Roman" w:cs="Times New Roman"/>
          <w:i/>
          <w:iCs/>
          <w:color w:val="000000"/>
        </w:rPr>
        <w:t>Ohaga</w:t>
      </w:r>
      <w:r>
        <w:rPr>
          <w:rFonts w:ascii="Times New Roman" w:hAnsi="Times New Roman" w:cs="Times New Roman"/>
          <w:color w:val="000000"/>
        </w:rPr>
        <w:t>, counsel for the Respondent. The detailed submissions are on record and there is no need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to reproduce them here. The thrust of Mr </w:t>
      </w:r>
      <w:r>
        <w:rPr>
          <w:rFonts w:ascii="Times New Roman" w:hAnsi="Times New Roman" w:cs="Times New Roman"/>
          <w:i/>
          <w:iCs/>
          <w:color w:val="000000"/>
        </w:rPr>
        <w:t>Oyatsi</w:t>
      </w:r>
      <w:r>
        <w:rPr>
          <w:rFonts w:ascii="Times New Roman" w:hAnsi="Times New Roman" w:cs="Times New Roman"/>
          <w:color w:val="000000"/>
        </w:rPr>
        <w:t>’s submissions was that as the Respondent’s pleadings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stand, they apparently disclose the concurrent existence of two tenancies over the same premises, that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both tenants were victims of illegal distress and forfeiture by the landlord and its auctioneer, and that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damages for those trespasses are sought by the two tenants. In his submissions, such a state of affairs was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not tenable in law. It was not open to the Defendant to plead the existence of a lease between himself and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 and seek damages on account of alleged illegal distress and unlawful forfeiture of such a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lease and at the same time plead an implied surrender of the same lease to another entity. The pleadings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were self-contradictory. In his view, both the defence and the counterclaim were in the premises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scandalous, frivolous and vexatious and should be struck out. As regards the claim for summary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judgment, he submitted that the contents of paragraphs 1–20 of Dr de Souza’s affidavit in support of the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application, which paragraphs detail how the amount claimed in the plaint is due to the Plaintiff, how it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came to be so, and how the Defendant admitted the same and sought indulgences are not controverted in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replying affidavit. In his view, there was no triable issue on the quantum of the rent in arrears. He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further submitted that the distress was levied in accordance with the law and the same was regular as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shown in the affidavits in support of the application.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thrust of Mr </w:t>
      </w:r>
      <w:r>
        <w:rPr>
          <w:rFonts w:ascii="Times New Roman" w:hAnsi="Times New Roman" w:cs="Times New Roman"/>
          <w:i/>
          <w:iCs/>
          <w:color w:val="000000"/>
        </w:rPr>
        <w:t>Ohaga</w:t>
      </w:r>
      <w:r>
        <w:rPr>
          <w:rFonts w:ascii="Times New Roman" w:hAnsi="Times New Roman" w:cs="Times New Roman"/>
          <w:color w:val="000000"/>
        </w:rPr>
        <w:t>’s submissions on the other hand was that there was nothing scandalous,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frivolous and vexatious about the defence and counterclaim. He submitted that a matter would only be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scandalous if it would be inadmissible in evidence to show the truth of any allegation which is material to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relief sought. He pointed out that there was nothing in the defence and counterclaim which amounted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to an imputation on the Plaintiff. He cited the </w:t>
      </w:r>
      <w:r>
        <w:rPr>
          <w:rFonts w:ascii="Times New Roman" w:hAnsi="Times New Roman" w:cs="Times New Roman"/>
          <w:i/>
          <w:iCs/>
          <w:color w:val="000000"/>
        </w:rPr>
        <w:t xml:space="preserve">Supreme Court Practice </w:t>
      </w:r>
      <w:r>
        <w:rPr>
          <w:rFonts w:ascii="Times New Roman" w:hAnsi="Times New Roman" w:cs="Times New Roman"/>
          <w:color w:val="000000"/>
        </w:rPr>
        <w:t>[1988] Volume I, paragraph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18/19/14 in support of his proposition. He further submitted that a pleading would only be frivolous or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vexatious if the case disclosed therein was obviously or plainly unsustainable. A court does not have to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delve into the merits of each party’s case to determine whether a matter is frivolous and vexatious. He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cited the </w:t>
      </w:r>
      <w:r>
        <w:rPr>
          <w:rFonts w:ascii="Times New Roman" w:hAnsi="Times New Roman" w:cs="Times New Roman"/>
          <w:i/>
          <w:iCs/>
          <w:color w:val="000000"/>
        </w:rPr>
        <w:t xml:space="preserve">Supreme Court Practice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 xml:space="preserve">), </w:t>
      </w:r>
      <w:r>
        <w:rPr>
          <w:rFonts w:ascii="Times New Roman" w:hAnsi="Times New Roman" w:cs="Times New Roman"/>
          <w:i/>
          <w:iCs/>
          <w:color w:val="000000"/>
        </w:rPr>
        <w:t xml:space="preserve">Wenlock v Moloney </w:t>
      </w:r>
      <w:r>
        <w:rPr>
          <w:rFonts w:ascii="Times New Roman" w:hAnsi="Times New Roman" w:cs="Times New Roman"/>
          <w:color w:val="000000"/>
        </w:rPr>
        <w:t xml:space="preserve">[1965] 1 WLR 1235 and </w:t>
      </w:r>
      <w:r>
        <w:rPr>
          <w:rFonts w:ascii="Times New Roman" w:hAnsi="Times New Roman" w:cs="Times New Roman"/>
          <w:i/>
          <w:iCs/>
          <w:color w:val="000000"/>
        </w:rPr>
        <w:t>DT Dobie v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Muchina </w:t>
      </w:r>
      <w:r>
        <w:rPr>
          <w:rFonts w:ascii="Times New Roman" w:hAnsi="Times New Roman" w:cs="Times New Roman"/>
          <w:color w:val="000000"/>
        </w:rPr>
        <w:t>[1978] LLR 9 (CAK) to support his contention. In his view, the application herein was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unsustainable under Order VI, rule 13(1)(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).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As regards the claim for summary judgment, Mr </w:t>
      </w:r>
      <w:r>
        <w:rPr>
          <w:rFonts w:ascii="Times New Roman" w:hAnsi="Times New Roman" w:cs="Times New Roman"/>
          <w:i/>
          <w:iCs/>
          <w:color w:val="000000"/>
        </w:rPr>
        <w:t xml:space="preserve">Ohaga </w:t>
      </w:r>
      <w:r>
        <w:rPr>
          <w:rFonts w:ascii="Times New Roman" w:hAnsi="Times New Roman" w:cs="Times New Roman"/>
          <w:color w:val="000000"/>
        </w:rPr>
        <w:t>submitted that there were several triable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issues. He pointed out that at paragraph 4 of the defence there is an allegation that the Plaintiff and the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auctioneer locked up the Defendant’s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165 of [2004] 1 EA 161 (CCK)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premises. That was an issue of fact from which illegal forfeiture arose as an issue of law. There was also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issue of whether the distress was excessive. In response to Mr </w:t>
      </w:r>
      <w:r>
        <w:rPr>
          <w:rFonts w:ascii="Times New Roman" w:hAnsi="Times New Roman" w:cs="Times New Roman"/>
          <w:i/>
          <w:iCs/>
          <w:color w:val="000000"/>
        </w:rPr>
        <w:t>Oyatsi</w:t>
      </w:r>
      <w:r>
        <w:rPr>
          <w:rFonts w:ascii="Times New Roman" w:hAnsi="Times New Roman" w:cs="Times New Roman"/>
          <w:color w:val="000000"/>
        </w:rPr>
        <w:t>’s submission that the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Defendant’s pleadings were inconsistent and contradictory, counsel submitted that the pleas were in the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alternative as permitted by Order VI, rule 6(2) of the Civil Procedure Rules. He further submitted that an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implied surrender of a lease was known in law. He cited </w:t>
      </w:r>
      <w:r>
        <w:rPr>
          <w:rFonts w:ascii="Times New Roman" w:hAnsi="Times New Roman" w:cs="Times New Roman"/>
          <w:i/>
          <w:iCs/>
          <w:color w:val="000000"/>
        </w:rPr>
        <w:t>Shah Panachand and Co v Velji and another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[1969] EA 194. He submitted that in the circumstances of this case, where a tenant had incorporated a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limited liability company to carry on his business in the demised premises, a surrender of the lease by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operation of law could be inferred and if that was done, it would follow that the company became a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controlled tenant within the meaning of the Landlord and Tenant Act (Chapter 301) of the Laws of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Kenya. That scenario raised issues of both law and fact. As regards the alleged admission of rent due, Mr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Ohaga </w:t>
      </w:r>
      <w:r>
        <w:rPr>
          <w:rFonts w:ascii="Times New Roman" w:hAnsi="Times New Roman" w:cs="Times New Roman"/>
          <w:color w:val="000000"/>
        </w:rPr>
        <w:t>submitted that the written admission was on a letterhead of a limited liability company and was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thus not an admission by the Defendant. He pointed out that the exhibit containing the admission as well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the cheques made to the Plaintiff showed that the Plaintiff was aware of the presence of Anil Kapoori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Pan Ltd in the demised premises. Accordingly the issue of whether it was the company or the Defendant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an individual who was the Plaintiff’s tenant was raised. He rounded off by submitting that an attempt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have the suit determined by affidavits is a usurpation of the function of the trial court.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From those submissions I think two issues arise for determination. First, whether the defence and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counterclaim as drawn are scandalous, frivolous or vexatious, and second, whether the same disclose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bona fide </w:t>
      </w:r>
      <w:r>
        <w:rPr>
          <w:rFonts w:ascii="Times New Roman" w:hAnsi="Times New Roman" w:cs="Times New Roman"/>
          <w:color w:val="000000"/>
        </w:rPr>
        <w:t>triable issues. As regards the first issue, I accept the exposition of the words scandalous,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frivolous and vexatious contained in the </w:t>
      </w:r>
      <w:r>
        <w:rPr>
          <w:rFonts w:ascii="Times New Roman" w:hAnsi="Times New Roman" w:cs="Times New Roman"/>
          <w:i/>
          <w:iCs/>
          <w:color w:val="000000"/>
        </w:rPr>
        <w:t>Supreme Court Practice</w:t>
      </w:r>
      <w:r>
        <w:rPr>
          <w:rFonts w:ascii="Times New Roman" w:hAnsi="Times New Roman" w:cs="Times New Roman"/>
          <w:color w:val="000000"/>
        </w:rPr>
        <w:t>. As the exposition is of an English rule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which is </w:t>
      </w:r>
      <w:r>
        <w:rPr>
          <w:rFonts w:ascii="Times New Roman" w:hAnsi="Times New Roman" w:cs="Times New Roman"/>
          <w:i/>
          <w:iCs/>
          <w:color w:val="000000"/>
        </w:rPr>
        <w:t xml:space="preserve">in pari materia </w:t>
      </w:r>
      <w:r>
        <w:rPr>
          <w:rFonts w:ascii="Times New Roman" w:hAnsi="Times New Roman" w:cs="Times New Roman"/>
          <w:color w:val="000000"/>
        </w:rPr>
        <w:t>with our Order VI, rule 13(1)(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), I would hold that a matter would only be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scandalous if it would not be admissible in evidence to show the truth of any allegation in the pleading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which is sought to be impugned. Such would be the case where an imputation is made on the character of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party when the character is not in issue. And I would say a pleading is frivolous if it lacks seriousness.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if is not serious then it would be unsustainable in court. A pleading would be vexatious if it annoys or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tends to annoy. Obviously it would annoy or tend to annoy if it was not serious or it contained scandalous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matter which was irrelevant to the action or defence. In short, it is my discernment that a scandalous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and/or frivolous pleading is </w:t>
      </w:r>
      <w:r>
        <w:rPr>
          <w:rFonts w:ascii="Times New Roman" w:hAnsi="Times New Roman" w:cs="Times New Roman"/>
          <w:i/>
          <w:iCs/>
          <w:color w:val="000000"/>
        </w:rPr>
        <w:t xml:space="preserve">ipso facto </w:t>
      </w:r>
      <w:r>
        <w:rPr>
          <w:rFonts w:ascii="Times New Roman" w:hAnsi="Times New Roman" w:cs="Times New Roman"/>
          <w:color w:val="000000"/>
        </w:rPr>
        <w:t>vexatious.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Now looking at the pleading sought to be struck out herein, namely the defence and counterclaim, I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must say that I detect no paragraph or combination of paragraphs which can be said to be scandalous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within the meaning of the law as expounded above. There is nothing irrelevant to the defence or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counterclaim sought to be advanced. And there is no imputation on the Plaintiff. So the pleading cannot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be struck out as being scandalous. Is it frivolous or vexatious? Mr </w:t>
      </w:r>
      <w:r>
        <w:rPr>
          <w:rFonts w:ascii="Times New Roman" w:hAnsi="Times New Roman" w:cs="Times New Roman"/>
          <w:i/>
          <w:iCs/>
          <w:color w:val="000000"/>
        </w:rPr>
        <w:t xml:space="preserve">Oyatsi </w:t>
      </w:r>
      <w:r>
        <w:rPr>
          <w:rFonts w:ascii="Times New Roman" w:hAnsi="Times New Roman" w:cs="Times New Roman"/>
          <w:color w:val="000000"/>
        </w:rPr>
        <w:t>has in a detailed and lucid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submission sought to show that the Respondent is metaphorically speaking running with the hares and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hunting with the hounds at the same time. He is resisting the Plaintiff’s claim by averring that he was not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tenant as his lease had impliedly been surrendered to a limited liability company of which he is a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director while at the same time he claims the relief of damages arising from an unlawful distress and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forfeiture of the same lease on the basis, of course, that he was the tenant. The limited liability company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is also claiming damages for </w:t>
      </w:r>
      <w:r>
        <w:rPr>
          <w:rFonts w:ascii="Times New Roman" w:hAnsi="Times New Roman" w:cs="Times New Roman"/>
          <w:i/>
          <w:iCs/>
          <w:color w:val="000000"/>
        </w:rPr>
        <w:t xml:space="preserve">inter alia </w:t>
      </w:r>
      <w:r>
        <w:rPr>
          <w:rFonts w:ascii="Times New Roman" w:hAnsi="Times New Roman" w:cs="Times New Roman"/>
          <w:color w:val="000000"/>
        </w:rPr>
        <w:t xml:space="preserve">illegal distress and forfeiture. Mr </w:t>
      </w:r>
      <w:r>
        <w:rPr>
          <w:rFonts w:ascii="Times New Roman" w:hAnsi="Times New Roman" w:cs="Times New Roman"/>
          <w:i/>
          <w:iCs/>
          <w:color w:val="000000"/>
        </w:rPr>
        <w:t xml:space="preserve">Ohaga </w:t>
      </w:r>
      <w:r>
        <w:rPr>
          <w:rFonts w:ascii="Times New Roman" w:hAnsi="Times New Roman" w:cs="Times New Roman"/>
          <w:color w:val="000000"/>
        </w:rPr>
        <w:t>submits that these claims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are in the alternative and accordingly quite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166 of [2004] 1 EA 161 (CCK)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proper. On a careful consideration of the matter I accept Mr </w:t>
      </w:r>
      <w:r>
        <w:rPr>
          <w:rFonts w:ascii="Times New Roman" w:hAnsi="Times New Roman" w:cs="Times New Roman"/>
          <w:i/>
          <w:iCs/>
          <w:color w:val="000000"/>
        </w:rPr>
        <w:t>Oyatsi</w:t>
      </w:r>
      <w:r>
        <w:rPr>
          <w:rFonts w:ascii="Times New Roman" w:hAnsi="Times New Roman" w:cs="Times New Roman"/>
          <w:color w:val="000000"/>
        </w:rPr>
        <w:t>’s submission that the matters pleaded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defence and set off and counterclaim are not in substance alternate pleas. To my mind, two persons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cannot plead in the alternative in respect of the very same cause of action as the Defendant and the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limited liability company of which he is a director seek to do here. In my opinion, the pleas in this matter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are contradictory pleas which are plainly unmaintainable. There cannot be concurrent tenancies in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respect of the same premises and I cannot contemplate the existence of tenants in the alternative. The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proposition is not a serious one, it is pretty much imaginary. As such it is frivolous. And it cannot but vex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any landlord to have a situation where two entities claim relief from him as tenants in his premises and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yet at the same time, a claim to rent arrears is resisted by the one who had executed a lease on the basis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that such lease had been surrendered to another. In the premises, I find the statement of defence and the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set off and counterclaim to be frivolous and vexatious. And although striking out a pleading is a drastic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remedy to be exercised only in plain and obvious cases, I consider this to be such a case and accordingly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order the said defence and the set off and counterclaim to be struck out with costs to the Applicant. I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further order that judgment be entered for the Plaintiff as prayed in the plaint. That being the view I take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the matter, it would be the vainest pedantry to proceed to consider the summary judgment aspect of the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application. That I refrain from doing.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Those, then, are the orders of this Court.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Applicant: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D Oyatsi </w:t>
      </w:r>
      <w:r>
        <w:rPr>
          <w:rFonts w:ascii="Times New Roman" w:hAnsi="Times New Roman" w:cs="Times New Roman"/>
          <w:color w:val="000000"/>
        </w:rPr>
        <w:t xml:space="preserve">instructed by </w:t>
      </w:r>
      <w:r>
        <w:rPr>
          <w:rFonts w:ascii="Times New Roman" w:hAnsi="Times New Roman" w:cs="Times New Roman"/>
          <w:i/>
          <w:iCs/>
          <w:color w:val="000000"/>
        </w:rPr>
        <w:t>Shapley Barret and Co</w:t>
      </w:r>
    </w:p>
    <w:p w:rsidR="00712622" w:rsidRDefault="00712622" w:rsidP="00712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575C55" w:rsidRDefault="00712622" w:rsidP="00712622">
      <w:r>
        <w:rPr>
          <w:rFonts w:ascii="Times New Roman" w:hAnsi="Times New Roman" w:cs="Times New Roman"/>
          <w:i/>
          <w:iCs/>
          <w:color w:val="000000"/>
        </w:rPr>
        <w:t xml:space="preserve">JM Ohaga </w:t>
      </w:r>
      <w:r>
        <w:rPr>
          <w:rFonts w:ascii="Times New Roman" w:hAnsi="Times New Roman" w:cs="Times New Roman"/>
          <w:color w:val="000000"/>
        </w:rPr>
        <w:t xml:space="preserve">instructed by Ochien’g </w:t>
      </w:r>
      <w:r>
        <w:rPr>
          <w:rFonts w:ascii="Times New Roman" w:hAnsi="Times New Roman" w:cs="Times New Roman"/>
          <w:i/>
          <w:iCs/>
          <w:color w:val="000000"/>
        </w:rPr>
        <w:t>Onyango Kibet Ohaga</w:t>
      </w:r>
      <w:bookmarkStart w:id="0" w:name="_GoBack"/>
      <w:bookmarkEnd w:id="0"/>
    </w:p>
    <w:sectPr w:rsidR="00575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622"/>
    <w:rsid w:val="00575C55"/>
    <w:rsid w:val="0071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40F15-F2E7-4298-90D8-E64CB9DE8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2615</Words>
  <Characters>14909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1</cp:revision>
  <dcterms:created xsi:type="dcterms:W3CDTF">2018-07-04T17:51:00Z</dcterms:created>
  <dcterms:modified xsi:type="dcterms:W3CDTF">2018-07-04T17:51:00Z</dcterms:modified>
</cp:coreProperties>
</file>