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306" w:rsidRDefault="009F2306" w:rsidP="009F2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Mubiru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&amp; others v Uganda Electricity Board &amp; another</w:t>
      </w:r>
    </w:p>
    <w:p w:rsidR="009F2306" w:rsidRDefault="009F2306" w:rsidP="009F2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9F2306" w:rsidRDefault="009F2306" w:rsidP="009F2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8 March 1974</w:t>
      </w:r>
    </w:p>
    <w:p w:rsidR="009F2306" w:rsidRDefault="009F2306" w:rsidP="009F2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241/1973 (96/74)</w:t>
      </w:r>
    </w:p>
    <w:p w:rsidR="009F2306" w:rsidRDefault="009F2306" w:rsidP="009F2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Allen J</w:t>
      </w:r>
    </w:p>
    <w:p w:rsidR="009F2306" w:rsidRDefault="009F2306" w:rsidP="009F2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9F2306" w:rsidRDefault="009F2306" w:rsidP="009F2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Costs 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Defence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– Revealed only at trail – Costs refused.</w:t>
      </w:r>
    </w:p>
    <w:p w:rsidR="009F2306" w:rsidRDefault="009F2306" w:rsidP="009F2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9F2306" w:rsidRDefault="009F2306" w:rsidP="00E954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Allen J: </w:t>
      </w:r>
      <w:r>
        <w:rPr>
          <w:rFonts w:ascii="Times New Roman" w:hAnsi="Times New Roman" w:cs="Times New Roman"/>
          <w:color w:val="000000"/>
        </w:rPr>
        <w:t xml:space="preserve">This suit is a claim by four children suing through their next friend, Josephine </w:t>
      </w:r>
      <w:proofErr w:type="spellStart"/>
      <w:r>
        <w:rPr>
          <w:rFonts w:ascii="Times New Roman" w:hAnsi="Times New Roman" w:cs="Times New Roman"/>
          <w:color w:val="000000"/>
        </w:rPr>
        <w:t>Mamubiru</w:t>
      </w:r>
      <w:proofErr w:type="spellEnd"/>
      <w:r>
        <w:rPr>
          <w:rFonts w:ascii="Times New Roman" w:hAnsi="Times New Roman" w:cs="Times New Roman"/>
          <w:color w:val="000000"/>
        </w:rPr>
        <w:t>, for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damages in negligence in a traffic accident which resulted in the death of their father </w:t>
      </w:r>
      <w:proofErr w:type="spellStart"/>
      <w:r>
        <w:rPr>
          <w:rFonts w:ascii="Times New Roman" w:hAnsi="Times New Roman" w:cs="Times New Roman"/>
          <w:color w:val="000000"/>
        </w:rPr>
        <w:t>Maurisio</w:t>
      </w:r>
      <w:proofErr w:type="spellEnd"/>
      <w:r w:rsidR="00E9547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Galiwango</w:t>
      </w:r>
      <w:proofErr w:type="spellEnd"/>
      <w:r>
        <w:rPr>
          <w:rFonts w:ascii="Times New Roman" w:hAnsi="Times New Roman" w:cs="Times New Roman"/>
          <w:color w:val="000000"/>
        </w:rPr>
        <w:t xml:space="preserve"> on 24 December 1972.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accident occurred on the </w:t>
      </w:r>
      <w:proofErr w:type="spellStart"/>
      <w:r>
        <w:rPr>
          <w:rFonts w:ascii="Times New Roman" w:hAnsi="Times New Roman" w:cs="Times New Roman"/>
          <w:color w:val="000000"/>
        </w:rPr>
        <w:t>Gayaza</w:t>
      </w:r>
      <w:proofErr w:type="spellEnd"/>
      <w:r>
        <w:rPr>
          <w:rFonts w:ascii="Times New Roman" w:hAnsi="Times New Roman" w:cs="Times New Roman"/>
          <w:color w:val="000000"/>
        </w:rPr>
        <w:t xml:space="preserve"> Road seven miles from Kampala between a motor cycle carrying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deceased </w:t>
      </w:r>
      <w:proofErr w:type="spellStart"/>
      <w:r>
        <w:rPr>
          <w:rFonts w:ascii="Times New Roman" w:hAnsi="Times New Roman" w:cs="Times New Roman"/>
          <w:color w:val="000000"/>
        </w:rPr>
        <w:t>Galiwango</w:t>
      </w:r>
      <w:proofErr w:type="spellEnd"/>
      <w:r>
        <w:rPr>
          <w:rFonts w:ascii="Times New Roman" w:hAnsi="Times New Roman" w:cs="Times New Roman"/>
          <w:color w:val="000000"/>
        </w:rPr>
        <w:t xml:space="preserve"> and another man and a Datsun motor car which was driven by the second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defendant, Mathias </w:t>
      </w:r>
      <w:proofErr w:type="spellStart"/>
      <w:r>
        <w:rPr>
          <w:rFonts w:ascii="Times New Roman" w:hAnsi="Times New Roman" w:cs="Times New Roman"/>
          <w:color w:val="000000"/>
        </w:rPr>
        <w:t>Malumba</w:t>
      </w:r>
      <w:proofErr w:type="spellEnd"/>
      <w:r>
        <w:rPr>
          <w:rFonts w:ascii="Times New Roman" w:hAnsi="Times New Roman" w:cs="Times New Roman"/>
          <w:color w:val="000000"/>
        </w:rPr>
        <w:t>. The Uganda Electricity Board was sued as co-defendant because the motor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car was registered in the Board’s name.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considering the details of the accident and the relative liabilities of the parties there is one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 which I shall deal with first.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is whether or not the Board was properly joined as a co-defendant. Counsel for the plaintiffs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maintained that, as the police accident report showed that the Board were the owners of the car and the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registration book indicated that it was registered in the name of the Board, they could not be blamed for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assuming that the Board was the owner and so suing them as a result.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S.49 of the Traffic and Road Safety Act, 1970 reads as follows: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person in whose name a motor vehicle, trailer or engineering plant is registered shall, unless the contrary</w:t>
      </w:r>
      <w:r w:rsidR="00E9547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proved, be presumed to be the owner of the motor vehicle, trailer or engineering plant.”</w:t>
      </w:r>
      <w:r w:rsidR="00E9547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two defendants conceded that the above section did not support his submission that the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Board should not have been sued at all, but he relied upon s.186 (1) of the same Act. This is the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interpretation section and under the word “owner” appears the following definitions: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“Owner”,</w:t>
      </w:r>
      <w:r w:rsidR="00E9547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in the case of a vehicle which is for the time being registered under the Act and is not being used under</w:t>
      </w:r>
      <w:r w:rsidR="00E9547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 hiring agreement or hire-purchase agreement, means the person appearing as the owner of the vehicle</w:t>
      </w:r>
      <w:r w:rsidR="00E9547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the register kept by the Registrar under this Act; and</w:t>
      </w:r>
      <w:r w:rsidR="00E9547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in relation to a vehicle which is the subject of a hiring agreement or a hire-purchase agreement, means</w:t>
      </w:r>
      <w:r w:rsidR="00E9547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person in possession of the vehicle under that agreement;”</w:t>
      </w:r>
      <w:r w:rsidR="00E9547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second defendant, Mulumba, testified that he was the owner of the car which was registered in the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name of his employers, because he had purchased the car after obtaining a loan from the Board for this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purpose and that the car would remain so registered until he had completed repaying the loan. In support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this Mr. Hughes, an administrative officer of the Board, testified that this was the usual practice of the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Board, when advancing loans to their staff for the purchase of motor vehicles and that it had been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followed in the case of Mulumba and his car. From his records Mr. Hughes stated that Mulumba had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been advanced the sum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14,188/- for this purpose.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None of this evidence was disputed and it is clear that the ownership of this vehicle comes within the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category of para.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of</w:t>
      </w:r>
      <w:proofErr w:type="gramEnd"/>
      <w:r>
        <w:rPr>
          <w:rFonts w:ascii="Times New Roman" w:hAnsi="Times New Roman" w:cs="Times New Roman"/>
          <w:color w:val="000000"/>
        </w:rPr>
        <w:t xml:space="preserve"> the above definition of “owner” under s. 186 (1) of the Act. There was no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at all that the Board controlled the use of the vehicle nor that anyone other than Mulumba could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use or possess it. It was, in fact, available solely for the use and possession of Mulumba and so, in law,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is regarded as the owner of the vehicle.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accident occurred on the evening of 24 December 1972, Christmas Eve, and there was no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at all that the second defendant was on duty or performing any task or journey on behalf of his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employers. According to Mulumba he was on his way home from Kampala Market at the time so that,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even if the vehicle had in fact belonged to the Board there would have been no doubt that Mulumba was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going about his own private business.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a result I find that the Uganda Electricity Board, the first defendant, was in no way liable for the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consequences of the activities of either Mulumba or his car in this matter.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order to dispose of the first defendant completely at this stage it will be convenient to consider the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question of costs with regard to this defendant only. Counsel for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submitted that the plaintiffs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pay the first defendant’s costs for wrongly joining them as co-defendants since they had notice of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position when this suit first came before the court on 2 July 1973 and an adjournment was granted in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to file an amended plaint and to join Mulumba as co-defendant with the Board which was at that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time, the sole defendant. Counsel for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maintained that the plaintiffs could have applied for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 and better particulars if they were in any doubt as to the ownership of the vehicle and that they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should have withdrawn the action against the </w:t>
      </w:r>
      <w:r>
        <w:rPr>
          <w:rFonts w:ascii="Times New Roman" w:hAnsi="Times New Roman" w:cs="Times New Roman"/>
          <w:color w:val="000000"/>
        </w:rPr>
        <w:lastRenderedPageBreak/>
        <w:t>Board at that time.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other hand counsel for the plaintiffs submitted that they were uncertain of the ownership but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the police report showed that the Board was the owner. In the original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filed on 19 April 1973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the Board was the only defendant, in para. 2, the Board denied being the “registered owner” of the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vehicle. This </w:t>
      </w:r>
      <w:proofErr w:type="gramStart"/>
      <w:r>
        <w:rPr>
          <w:rFonts w:ascii="Times New Roman" w:hAnsi="Times New Roman" w:cs="Times New Roman"/>
          <w:color w:val="000000"/>
        </w:rPr>
        <w:t>itself</w:t>
      </w:r>
      <w:proofErr w:type="gramEnd"/>
      <w:r>
        <w:rPr>
          <w:rFonts w:ascii="Times New Roman" w:hAnsi="Times New Roman" w:cs="Times New Roman"/>
          <w:color w:val="000000"/>
        </w:rPr>
        <w:t xml:space="preserve"> was a confusing and untrue statement. The registration book shows that the car was in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 registered in the name of the Board as owner and so it would have been better and proper for the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to set out the position clearly right from the start.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the amended plaint had been filed, joining Mulumba as co-defendant,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was filed on behalf of Mulumba only and no amendment was made to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the first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defendant. In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the second defendant no mention was made of either the ownership or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possession of the car and the opportunity was not taken by the defendants to clarify the position. In my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opinion, this was the fault of the defendants. They were in a position to know exactly what the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relationship was between the two defendants with regard to the ownership of the car and there was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apparently no good reason to hide this from the plaintiffs, nor to delay in informing them of it.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far as I can see, there is nothing in the pleadings as they stand that would cause the plaintiffs to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any good reason to withdraw their claim against the Board. The true position was not clarified until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actual trial took place. If the Board wanted to avoid or, at least, save costs then steps should have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taken long before the hearing to ensure that the plaintiffs were put in possession of all the relevant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facts with regard to the ownership of this car. Since this was not done or, at least, there is no evidence or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record of it having been done, then the plaintiffs cannot be held to blame for pursuing their case against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Board.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Accordingly, the claim against the first defendant, the Uganda Electricity Board, is dismissed but the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Board must bear its own costs.</w:t>
      </w:r>
      <w:r w:rsidR="00E954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Case against first defendant dismissed without costs.</w:t>
      </w:r>
    </w:p>
    <w:p w:rsidR="009F2306" w:rsidRDefault="009F2306" w:rsidP="009F2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plaintiffs:</w:t>
      </w:r>
    </w:p>
    <w:p w:rsidR="009F2306" w:rsidRDefault="009F2306" w:rsidP="009F2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Nsubuga-Nsambu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Nsambu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Luganda</w:t>
      </w:r>
      <w:r>
        <w:rPr>
          <w:rFonts w:ascii="Times New Roman" w:hAnsi="Times New Roman" w:cs="Times New Roman"/>
          <w:color w:val="000000"/>
        </w:rPr>
        <w:t>, Kampala)</w:t>
      </w:r>
    </w:p>
    <w:p w:rsidR="009F2306" w:rsidRDefault="009F2306" w:rsidP="009F2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defendants:</w:t>
      </w:r>
    </w:p>
    <w:p w:rsidR="003278A0" w:rsidRDefault="009F2306" w:rsidP="009F2306">
      <w:proofErr w:type="spellStart"/>
      <w:r>
        <w:rPr>
          <w:rFonts w:ascii="Times New Roman" w:hAnsi="Times New Roman" w:cs="Times New Roman"/>
          <w:i/>
          <w:iCs/>
          <w:color w:val="000000"/>
        </w:rPr>
        <w:t>Kirenga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Kirenga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Gaffa</w:t>
      </w:r>
      <w:proofErr w:type="spellEnd"/>
      <w:r>
        <w:rPr>
          <w:rFonts w:ascii="Times New Roman" w:hAnsi="Times New Roman" w:cs="Times New Roman"/>
          <w:color w:val="000000"/>
        </w:rPr>
        <w:t>, Kampala)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306"/>
    <w:rsid w:val="003278A0"/>
    <w:rsid w:val="009F2306"/>
    <w:rsid w:val="00E9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642D2-5675-4FD4-A84E-B8667A4F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2018-07-06T11:12:00Z</dcterms:created>
  <dcterms:modified xsi:type="dcterms:W3CDTF">2018-07-13T13:27:00Z</dcterms:modified>
</cp:coreProperties>
</file>