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Mucheru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Mucheru</w:t>
      </w:r>
      <w:proofErr w:type="spellEnd"/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December 2000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212/96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Originating summons – Observations on the procedure – Issues of adverse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possession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trust – Additional question of burial and succession – Whether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appropriate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deal with complex matters on originating summons – Order XXXVI – Civil Procedure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Rules.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Trust – Declaration of trust in agricultural land – Whether subject to Land Control Board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Statute Law (Repeal and Miscellaneous Amendments) Act 1980</w:t>
      </w:r>
    </w:p>
    <w:p w:rsidR="00D276F2" w:rsidRDefault="007C08E1" w:rsidP="007C08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276F2" w:rsidRDefault="00D276F2" w:rsidP="007C0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AKIWUMI, TUNOI AND O’KUBASU JJA: </w:t>
      </w:r>
      <w:r>
        <w:rPr>
          <w:rFonts w:ascii="Times New Roman" w:hAnsi="Times New Roman" w:cs="Times New Roman"/>
          <w:color w:val="000000"/>
        </w:rPr>
        <w:t xml:space="preserve">This is an appeal against the judgment of 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J,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she declared a piece of land as belonging to the dead husband of the original Respondent,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, and which she and her children had inherited upon the death of her husband, and also ordered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be buried on that piece of land. The complex issues that were involved in the proceedings before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will now be recounted.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originating summons, the Respondent,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, sought the determination of the following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 W </w:t>
      </w:r>
      <w:proofErr w:type="spellStart"/>
      <w:r>
        <w:rPr>
          <w:rFonts w:ascii="Times New Roman" w:hAnsi="Times New Roman" w:cs="Times New Roman"/>
          <w:color w:val="000000"/>
        </w:rPr>
        <w:t>hether</w:t>
      </w:r>
      <w:proofErr w:type="spellEnd"/>
      <w:r>
        <w:rPr>
          <w:rFonts w:ascii="Times New Roman" w:hAnsi="Times New Roman" w:cs="Times New Roman"/>
          <w:color w:val="000000"/>
        </w:rPr>
        <w:t xml:space="preserve"> she by herself, servants or agents was entitled to bury her deceased Husband, Francis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 W </w:t>
      </w:r>
      <w:proofErr w:type="spellStart"/>
      <w:r>
        <w:rPr>
          <w:rFonts w:ascii="Times New Roman" w:hAnsi="Times New Roman" w:cs="Times New Roman"/>
          <w:color w:val="000000"/>
        </w:rPr>
        <w:t>hether</w:t>
      </w:r>
      <w:proofErr w:type="spellEnd"/>
      <w:r>
        <w:rPr>
          <w:rFonts w:ascii="Times New Roman" w:hAnsi="Times New Roman" w:cs="Times New Roman"/>
          <w:color w:val="000000"/>
        </w:rPr>
        <w:t xml:space="preserve">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was entitled to a portion of the suit land, land Parcel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Ngenda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Gituru</w:t>
      </w:r>
      <w:proofErr w:type="spellEnd"/>
      <w:r>
        <w:rPr>
          <w:rFonts w:ascii="Times New Roman" w:hAnsi="Times New Roman" w:cs="Times New Roman"/>
          <w:color w:val="000000"/>
        </w:rPr>
        <w:t xml:space="preserve">/310, which was registered in the name of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the deceased husband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Appellant, Beatrice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, and whether it devolved unto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on the death of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 husband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</w:rPr>
        <w:t>W as</w:t>
      </w:r>
      <w:proofErr w:type="spellEnd"/>
      <w:r>
        <w:rPr>
          <w:rFonts w:ascii="Times New Roman" w:hAnsi="Times New Roman" w:cs="Times New Roman"/>
          <w:color w:val="000000"/>
        </w:rPr>
        <w:t xml:space="preserve"> the said portion of the suit land identifiable in the light of the clan elders’ decision that it was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held in trust by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benefit of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?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 I f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was entitled to the said portion of the suit land, what was its dimension and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site?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 filing of the originating summons,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applied by chamber summons to be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bury her husband on the suit land. This was on the basis that even though the suit land was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registered in the name of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>, he held a portion of it in customary Kikuyu trust on behalf of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. Objections to this application raised complex issues such as, whether Kikuyu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customary trust could override the registration of the suit land in the name of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as its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beneficial owner; whether the burial of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on the suit land was merely a ruse to obtain title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affected part of the suit land; whether the burial of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and other related issues were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matters that could be brought by way of originating summons; and whether Beatrice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could be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a party to the proceedings. In her ruling on this application, the Learned Judge, 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J, first held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originating summons was properly before the court; secondly, that Beatrice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had been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made a party to the suit; and thirdly, and significantly, that: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found that the dispute in this case goes deeper than just the question of the burial of the dead body,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 lying at the City Mortuary. The ownership of the land in question, is a point to be determined. The 2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issues are co-related, and to decide on one without the other, would be to pre-judge issues. I have found that I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decide on such issues on affidavit evidence alone, I have to hear the oral evidence … I will now go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ahead and hear oral evidence in this case”.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presumably rejecting the submission that the matter should not have been brought by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originating summons and being of the view that it was unnecessary to raise the matters involved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way of a suit, then went on to hear oral evidence to determine not only the chamber summons but also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originating summons in which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as heir to the portion of the suit land which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held in trust for her husband,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, sought the determination of the complex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raised in the originating summons and as hereinbefore set out. But was she right to do so? We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first consider the applicable substantive Civil Procedure Rule under which the origination summons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filed. This is rule 1 of Order 36 which so far as it is relevant, provides that: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person claiming to be interested in the relief sought as ... heir ... of a deceased person ... may take out ...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originating summons ... for such relief of the nature or kind following, as may by the summons be specified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the circumstances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 the case may require, that is to say, the determination ... of any of the following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questions: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any question affecting the rights or interest of the person claiming to be ... heir ...”.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may well suppose that the question regarding the issue whether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, as heir to Francis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, was entitled to his share of the suit land and the dimension and particulars of the same, if it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in the circumstance, a simple issue, which as it happened was not the case, came within the ambit of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36, Rule 1. But can the same be said about the first question set out in the originating summons,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is, whether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was entitled to bury her dead husband? We would say, no! What is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more, the issues involved in the originating summons were, as the Learned Judge herself, as already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shown, admitted, of a complex nature and which should not have been dealt with by way of the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originating summons as the Learned Judge did. As Newbold AVP espoused in his judgment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7C08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Khan </w:t>
      </w:r>
      <w:r>
        <w:rPr>
          <w:rFonts w:ascii="Times New Roman" w:hAnsi="Times New Roman" w:cs="Times New Roman"/>
          <w:color w:val="000000"/>
        </w:rPr>
        <w:t>[1965] EA 94 at 101: “An originating summons is a form of legal proceedings designed to give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certain specific cases, a quick summary and inexpensive remedy”. Newbold </w:t>
      </w:r>
      <w:proofErr w:type="spellStart"/>
      <w:r>
        <w:rPr>
          <w:rFonts w:ascii="Times New Roman" w:hAnsi="Times New Roman" w:cs="Times New Roman"/>
          <w:color w:val="000000"/>
        </w:rPr>
        <w:t>AgVP</w:t>
      </w:r>
      <w:proofErr w:type="spellEnd"/>
      <w:r>
        <w:rPr>
          <w:rFonts w:ascii="Times New Roman" w:hAnsi="Times New Roman" w:cs="Times New Roman"/>
          <w:color w:val="000000"/>
        </w:rPr>
        <w:t xml:space="preserve"> then went on at page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105 to observe as follows: “The other items were, however, certainly not matters which could be agitated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an originating summons under Order 36, and while Rules 9 and 10 of that Order permit of evidence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taken, this is only so if the matters in respect of which relief is sought can be disposed of in a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summary manner”.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Subsequently,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[1982-88] 1 KAR 60 Law JA had this to say: “The procedure by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originating summons is intended: ‘to enable simple matters to be settled by the court without the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expense of bringing an action in the usual way, not to enable the court to determine matters which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 a serious question’ ”.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was said in </w:t>
      </w:r>
      <w:r>
        <w:rPr>
          <w:rFonts w:ascii="Times New Roman" w:hAnsi="Times New Roman" w:cs="Times New Roman"/>
          <w:i/>
          <w:iCs/>
          <w:color w:val="000000"/>
        </w:rPr>
        <w:t xml:space="preserve">In re Giles </w:t>
      </w:r>
      <w:r>
        <w:rPr>
          <w:rFonts w:ascii="Times New Roman" w:hAnsi="Times New Roman" w:cs="Times New Roman"/>
          <w:color w:val="000000"/>
        </w:rPr>
        <w:t>(2) [1980] 43 Ch. D. 91, a decision cited with approval by this Court’s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predecessor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Kuslum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Bhai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Abdulhussein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[1957] EA 699. See also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Khan </w:t>
      </w:r>
      <w:r>
        <w:rPr>
          <w:rFonts w:ascii="Times New Roman" w:hAnsi="Times New Roman" w:cs="Times New Roman"/>
          <w:color w:val="000000"/>
        </w:rPr>
        <w:t>[1965] EA 94,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it was held that the scope of an inquiry which could be made on an originating summons and the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ability to deal with a contested case was very limited. When it becomes obvious that the issues raise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complex and contentious questions of fact and law, a judge should dismiss the summons and leave the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 pursue their claims by ordinary suit . . . Finally, I would like to advise judges who have to deal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an originating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summons to consider the judgment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Kenya Commercial Bank Ltd v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Osebe</w:t>
      </w:r>
      <w:proofErr w:type="spellEnd"/>
      <w:r w:rsidR="007C08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[1982–88] 1 KAR 48 and in particular the judgment of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AJA in which the law and practice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originating summons, and their scope, are extensively reviewed”.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set out the following pertinent part of the judgment of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AJA (as he then was)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Kenya Commercial Bank Ltd v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support of the first limb of his submissions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Kwach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cited Sir Ralph Windham CJ’s judgment in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Kulsumbhai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Abdulhussein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[1957] 1 EA at 701 where he said: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‘It was pointed out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re Giles </w:t>
      </w:r>
      <w:r>
        <w:rPr>
          <w:rFonts w:ascii="Times New Roman" w:hAnsi="Times New Roman" w:cs="Times New Roman"/>
          <w:color w:val="000000"/>
          <w:sz w:val="20"/>
          <w:szCs w:val="20"/>
        </w:rPr>
        <w:t>(2) [1980] 43,Ch D 391, that such procedure was intended, so far as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can judge, to enable simple matters to be settled by the court without the expense of bringing an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in the usual way, not to enable the court to determine matters which involved a serious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question.’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I would also refer to the following passage from a judgment of my own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Salehmohamed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Mohamed</w:t>
      </w:r>
      <w:r w:rsidR="007C08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VPH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Saldanha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3</w:t>
      </w:r>
      <w:r>
        <w:rPr>
          <w:rFonts w:ascii="Times New Roman" w:hAnsi="Times New Roman" w:cs="Times New Roman"/>
          <w:color w:val="000000"/>
          <w:sz w:val="20"/>
          <w:szCs w:val="20"/>
        </w:rPr>
        <w:t>, Kenya Supreme Court (Mombasa) Civil Case Number 243 of 1953 (UR), where the scope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general purpose of procedure by way of originating summons were being considered: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‘Such procedure is primarily designed for the summary and 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ad hoc</w:t>
      </w:r>
      <w:r>
        <w:rPr>
          <w:rFonts w:ascii="Times New Roman" w:hAnsi="Times New Roman" w:cs="Times New Roman"/>
          <w:color w:val="000000"/>
          <w:sz w:val="20"/>
          <w:szCs w:val="20"/>
        </w:rPr>
        <w:t>” determination of points of law or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construction or of certain questions of fact, or for the obtaining of specific directions of the court, such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 trustees, administrators, or (as here) the court’s own execution officers.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despatch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an object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proceedings is shown by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Order XXXVI, </w:t>
      </w:r>
      <w:r>
        <w:rPr>
          <w:rFonts w:ascii="Times New Roman" w:hAnsi="Times New Roman" w:cs="Times New Roman"/>
          <w:color w:val="000000"/>
          <w:sz w:val="20"/>
          <w:szCs w:val="20"/>
        </w:rPr>
        <w:t>which provides that they shall be listed as soon as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possible and be heard in chambers unless adjourned by a judge into a court.’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Even clearer is the statement he quoted from Newbold JA’s judgment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Bhari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Khan </w:t>
      </w:r>
      <w:r>
        <w:rPr>
          <w:rFonts w:ascii="Times New Roman" w:hAnsi="Times New Roman" w:cs="Times New Roman"/>
          <w:color w:val="000000"/>
          <w:sz w:val="20"/>
          <w:szCs w:val="20"/>
        </w:rPr>
        <w:t>[1965] EA at 101.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Moreover strange results would follow if a judge were free to determine issues not properly before him, see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Newbold JA (as he then was)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Bhari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Khan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at page 105 letters B to C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Duffus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 at page 108 letter D.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Moreover the originating summons procedure is not for the purpose of obtaining decisions on disputed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questions of fact –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re Sutcliffe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[1942] 1 CH. at page 455 per Bennet J followed by Madan J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Official</w:t>
      </w:r>
      <w:r w:rsidR="007C08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Receiver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Sukhdev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[1970) EA at page 248”.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AJA’s judgment was considered by the Learned Judge in what purports to be a 19 page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somewhat confusing judgment instead of a ruling. The Learned Judge after considering the “complex and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contentious questions of fact and law” as to whether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held a portion of the suit land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trust for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; whether not withstanding that the suit land was first registered in the name of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as its sole proprietor, under the Registered Land Act,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could still claim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title to a portion of it as being held in trust for him by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>, or through adverse possession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Limitation of Actions Act Chapter 22; and the following legal authorities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Gatimu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7C08E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[1976] KLR 253 and </w:t>
      </w: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Munene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Muthuita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Milka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w/o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Muthuita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,</w:t>
      </w:r>
      <w:r w:rsidR="007C08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Namus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s/o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Muthuita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George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Mwaniki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s/o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Muthuita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42 – and the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Registered Land Act, misapplied the judgments not only of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AJA, but also that of this Court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She said: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“Finally, I would agree with the submission that there is no specific legal procedure dealing with burial of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dead bodies. This is a recent development in law. Anyway, in this case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Teresiah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Mucheru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Plaintiff,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maintained right from the beginning that her deceased husband had a portion in the suit premises and that she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together with her children being the deceased’s heirs are entitled to bury his body on that portion which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belonged to him. Evidence was led to the effect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Teresiah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her children are entitled to inherit from the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deceased.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was because of this, according to submissions that the Plaintiff came to Court under Order XXXVI, Rule 1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Civil Procedure Rules, which states,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inter alia, </w:t>
      </w:r>
      <w:r>
        <w:rPr>
          <w:rFonts w:ascii="Times New Roman" w:hAnsi="Times New Roman" w:cs="Times New Roman"/>
          <w:color w:val="000000"/>
          <w:sz w:val="20"/>
          <w:szCs w:val="20"/>
        </w:rPr>
        <w:t>and any person claiming to be interested in the relief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sought as creditor, devise, legatee,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was in this respect, and also applying the laws of natural justice that I went beyond the chamber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concerning burial and dealt with the whole dispute on land, otherwise I am aware of the advice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to judges dealing with originating summons, by Law JA (as he then was) in civil case (originating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summons) 70/79, who referred to the Court of Appeal judgment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Kenya Commercial Bank v James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Osebe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civil appeal number 60/82, and particularly the judgment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Hancox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AJA (as he then was) in which the law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practice relating to originating summons and their scope, was extensively reviewed.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 finally, to answer the Plaintiff’s question in her prayers brought to court, I would say that her late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husband, the deceased, was entitled to a portion of the suit premises during his lifetime, and that portion now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devolves to her and her children, under Kikuyu customary law.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According to evidence on record, that portion is identifiable, since evidence was led to show that the clan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elders planted a hedge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Kariaria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). Alternatively, the deceased had once built a house on the land and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cultivated crops. That showed his portion. A third way of identifying it is I suppose, as per the evidence of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Gachihi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Wagiko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portion nearest to his land.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size of the deceased portion is 3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acres,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the evidence let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in court, which I accepted.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above questions having been answered, I would now finally answer the question on the burial of the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dead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body,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Plaintiff and/or her agents are entitled to bury the body of her late husband Francis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Mucheru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Muruchu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who died on 11 February 1984 and whose body is still lying at the City Mortuary, on that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portion.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view of my findings, I hereby direct that the chief of this village, Chief Charles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Gathu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Mungai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and the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District Officer (DO)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Njoroge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Ndirangu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be present at the burial to ensure that my orders are carried out,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further that the officer-in-charge,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Gatundu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Police Station also be present to ensure that law and order is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maintained at the time of the burial.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deceased should be buried as soon as reasonably possible, in view of the fact that to date, his body has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lying in the mortuary for 38 days, inclusive of today”.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the Learned Judge thought that the matter should continue as if by a plaint, which she clearly did not,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should have invoked the provisions of Rule 10(1) of Order 36 which is as follows and not persisted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misapplying the law: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 (1) Where, on an originating summons under this order, it appears to the court at any stage of the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that the proceedings should for any reason be continued as if the cause had been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begun by filing a plaint, it may order the proceedings to continue as if the cause had been so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begun and may, in particular, order that any affidavits filed shall stand as pleadings, with or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liberty to any of the parties to add to, or to apply for particulars of, those affidavits”.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her “judgment” the Learned Judge relied upon the judgment of Madan J (as he then was) of 5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November 1976,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 he held that: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“The creation of a trust over agricultural land in a land control area does not constitute an ‘other disposal of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dealing’ for the purposes of section 6(1)(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Land Control Act and, therefore, does not require the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consent of the local land control board; and the absence of any reference to the trust in the instrument of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acquisition of the land does not affect the enforceability of the trust as the provisions of section 126(1) of the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 Land Act as to the reference to the capacity as trustee in the instrument of acquisition are not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mandatory but merely permissive”.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evidence adduced at the hearing, the suit land would seem to be “agricultural land” as defined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section 2 of the Land Control Act and as such, any transaction in it without the consent of the relevant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Control Board, would in accordance with section 6(1) of the Act, be void for all purposes. Section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6(2) of the Act which was introduced by the Statute Law (Repeal and Miscellaneous Amendments) Act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1980, and which is as follows: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For the avoidance of doubt it is declared that the declaration of a trust of agricultural land situated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a land control area is a dealing in that land for the purposes of subsection (1)”</w:t>
      </w:r>
      <w:r w:rsidR="007C0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extends the provisions of section 6(1) of the Act to the declaration of trust in agricultural land. This is an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issue which may well have affected the agricultural land allegedly being held in trust by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benefit of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. The Learned Judge did not pursue this particular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 which might affect the correctness of Madan J’s judgment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upon which she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relied. It is noteworthy that in the Memorandum and Objects of the Statute Law (Repeal and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Amendments) Bill, it is stated with respect to the amendment of the then existing section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6(2) of the Land Control Act that: “The existing provisions at sections 6(2)(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… are deleted entirely.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proposed new section 6(2) will simply clarify a point concerning trusts, over which there has been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disagreement …</w:t>
      </w:r>
      <w:proofErr w:type="gramStart"/>
      <w:r>
        <w:rPr>
          <w:rFonts w:ascii="Times New Roman" w:hAnsi="Times New Roman" w:cs="Times New Roman"/>
          <w:color w:val="000000"/>
        </w:rPr>
        <w:t>”.</w:t>
      </w:r>
      <w:proofErr w:type="gramEnd"/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this also goes to show how </w:t>
      </w:r>
      <w:r>
        <w:rPr>
          <w:rFonts w:ascii="Times New Roman" w:hAnsi="Times New Roman" w:cs="Times New Roman"/>
          <w:color w:val="000000"/>
        </w:rPr>
        <w:lastRenderedPageBreak/>
        <w:t>complex the matter was and why it should not have been dealt with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originating summons.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erred, as illustrated in her confusing “judgment” as set out above, in proceeding in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the “complex and contentious questions of facts and law” raised in the originating summons and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also when she determined an issue raised by a chamber summons at the same time as those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in the originating summons.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has informed us that the Appellant is not appealing against the Learned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Judge’s ruling concerning the burial of Francis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. It is now sixteen years ago when Francis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 xml:space="preserve"> was buried and we are not surprised at this. We will, however, for the reasons set out above,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without prejudice to whatever future steps the Respondent may wish to take, allow the appeal against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other orders made by the Learned Judge in her “judgment” appealed against. Because of the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intertwined family relationship between the Appellant and the present Respondent who is the legal</w:t>
      </w:r>
      <w:r w:rsidR="007C08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representative of her dead mother, </w:t>
      </w:r>
      <w:proofErr w:type="spellStart"/>
      <w:r>
        <w:rPr>
          <w:rFonts w:ascii="Times New Roman" w:hAnsi="Times New Roman" w:cs="Times New Roman"/>
          <w:color w:val="000000"/>
        </w:rPr>
        <w:t>Teresia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Mucheru</w:t>
      </w:r>
      <w:proofErr w:type="spellEnd"/>
      <w:r>
        <w:rPr>
          <w:rFonts w:ascii="Times New Roman" w:hAnsi="Times New Roman" w:cs="Times New Roman"/>
          <w:color w:val="000000"/>
        </w:rPr>
        <w:t>, we make no order as to costs.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Akampurira</w:t>
      </w:r>
      <w:proofErr w:type="spellEnd"/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3F18BF" w:rsidRDefault="003F18BF"/>
    <w:sectPr w:rsidR="003F18BF" w:rsidSect="00CC75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F2"/>
    <w:rsid w:val="003F18BF"/>
    <w:rsid w:val="007C08E1"/>
    <w:rsid w:val="00D2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C903C-40BF-4E3F-ACAE-78A4695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2018-07-05T10:46:00Z</dcterms:created>
  <dcterms:modified xsi:type="dcterms:W3CDTF">2018-07-13T13:29:00Z</dcterms:modified>
</cp:coreProperties>
</file>