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Muchoki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November 2004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2733/96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Visram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I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Negligence – Hospital admitting a child patient – Patient disappearing from hospital and later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found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dead – Death occurring outside the hospital – Whether hospital liable in negligence.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Tort – Negligence – Patient disappearing from hospital and found dead – No particular employee of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hospital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found negligent – </w:t>
      </w:r>
      <w:r>
        <w:rPr>
          <w:rFonts w:ascii="Times New Roman" w:hAnsi="Times New Roman" w:cs="Times New Roman"/>
          <w:color w:val="000000"/>
        </w:rPr>
        <w:t xml:space="preserve">Res </w:t>
      </w:r>
      <w:proofErr w:type="spellStart"/>
      <w:r>
        <w:rPr>
          <w:rFonts w:ascii="Times New Roman" w:hAnsi="Times New Roman" w:cs="Times New Roman"/>
          <w:color w:val="000000"/>
        </w:rPr>
        <w:t>ipsa</w:t>
      </w:r>
      <w:proofErr w:type="spellEnd"/>
      <w:r>
        <w:rPr>
          <w:rFonts w:ascii="Times New Roman" w:hAnsi="Times New Roman" w:cs="Times New Roman"/>
          <w:color w:val="000000"/>
        </w:rPr>
        <w:t xml:space="preserve"> loquitur – </w:t>
      </w:r>
      <w:r>
        <w:rPr>
          <w:rFonts w:ascii="Times New Roman" w:hAnsi="Times New Roman" w:cs="Times New Roman"/>
          <w:i/>
          <w:iCs/>
          <w:color w:val="000000"/>
        </w:rPr>
        <w:t>Whether hospital liable nonetheless – No rebuttal of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plaintiffs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evidence.</w:t>
      </w:r>
    </w:p>
    <w:p w:rsidR="00AB491B" w:rsidRDefault="00C859F3" w:rsidP="00C859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B491B" w:rsidRDefault="00AB491B" w:rsidP="00C85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VISRAM J: </w:t>
      </w:r>
      <w:r>
        <w:rPr>
          <w:rFonts w:ascii="Times New Roman" w:hAnsi="Times New Roman" w:cs="Times New Roman"/>
          <w:color w:val="000000"/>
        </w:rPr>
        <w:t xml:space="preserve">On 21 February 1991 the plaintiff and his wife took their little daughter, Susan </w:t>
      </w:r>
      <w:proofErr w:type="spellStart"/>
      <w:r>
        <w:rPr>
          <w:rFonts w:ascii="Times New Roman" w:hAnsi="Times New Roman" w:cs="Times New Roman"/>
          <w:color w:val="000000"/>
        </w:rPr>
        <w:t>Njeri</w:t>
      </w:r>
      <w:proofErr w:type="spellEnd"/>
      <w:r>
        <w:rPr>
          <w:rFonts w:ascii="Times New Roman" w:hAnsi="Times New Roman" w:cs="Times New Roman"/>
          <w:color w:val="000000"/>
        </w:rPr>
        <w:t>, then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four years old, to the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hospital for treatment. It was approximately 12:30pm. The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doctors examined her and decided to admit her as an in-patient. The child’s mother left her in the care of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hospital and went home. She returned to see her little daughter at 4:30pm on the same day. She found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there, being treated, and stayed with her until 5:30pm when the “visitor’s hours” ended, and she left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for home. That was the last time she saw her child alive.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following morning, at around 6:30am, she returned to the hospital. The child had disappeared.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hospital staff told her that the child had gone missing the previous night. They began a frantic search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child who was eventually found dead by the </w:t>
      </w:r>
      <w:proofErr w:type="spellStart"/>
      <w:r>
        <w:rPr>
          <w:rFonts w:ascii="Times New Roman" w:hAnsi="Times New Roman" w:cs="Times New Roman"/>
          <w:color w:val="000000"/>
        </w:rPr>
        <w:t>Ragati</w:t>
      </w:r>
      <w:proofErr w:type="spellEnd"/>
      <w:r>
        <w:rPr>
          <w:rFonts w:ascii="Times New Roman" w:hAnsi="Times New Roman" w:cs="Times New Roman"/>
          <w:color w:val="000000"/>
        </w:rPr>
        <w:t xml:space="preserve"> River in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>, the following morning.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are the plain, hard and uncontroverted facts established before this Court.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Little </w:t>
      </w:r>
      <w:proofErr w:type="spellStart"/>
      <w:r>
        <w:rPr>
          <w:rFonts w:ascii="Times New Roman" w:hAnsi="Times New Roman" w:cs="Times New Roman"/>
          <w:color w:val="000000"/>
        </w:rPr>
        <w:t>Njeri’s</w:t>
      </w:r>
      <w:proofErr w:type="spellEnd"/>
      <w:r>
        <w:rPr>
          <w:rFonts w:ascii="Times New Roman" w:hAnsi="Times New Roman" w:cs="Times New Roman"/>
          <w:color w:val="000000"/>
        </w:rPr>
        <w:t xml:space="preserve"> father, Ephraim G </w:t>
      </w:r>
      <w:proofErr w:type="spellStart"/>
      <w:r>
        <w:rPr>
          <w:rFonts w:ascii="Times New Roman" w:hAnsi="Times New Roman" w:cs="Times New Roman"/>
          <w:color w:val="000000"/>
        </w:rPr>
        <w:t>Muchoki</w:t>
      </w:r>
      <w:proofErr w:type="spellEnd"/>
      <w:r>
        <w:rPr>
          <w:rFonts w:ascii="Times New Roman" w:hAnsi="Times New Roman" w:cs="Times New Roman"/>
          <w:color w:val="000000"/>
        </w:rPr>
        <w:t>, filed this action for damages on 5 November 1996 in his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capacity as the father and administrator of the estate of his deceased child. He sued the Attorney-General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behalf of the ministry of health which had control and management of the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hospital in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accordance with the Public Health Act, (Chapter 242) Laws of Kenya.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plaint, which was amended on 18 February 2002 to incorporate special damages for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5 796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pursuant to an order of this Court, the plaintiff alleged negligence and breach of duty of care by the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hospital resulting in the child’s disappearance and subsequent death. He claims general damages from the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 on 9 April 1997, the Attorney-General admitted, in paragraph 3 of the plaint, that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child had been admitted to the hospital as an in-patient on the material day, but denied any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negligence, putting the plaintiff to strict proof of all the allegations. The defendant, however, did not call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witnesses, and, therefore, the only evidence before this Court is that offered by the plaintiff. Those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facts, as provided by the plaintiff, are uncontroverted as I indicated at the beginning of this Judgment.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evidence adduced it is abundantly clear that the child was left in the care of the hospital,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sometime between 5:30pm (after the departure of the child’s mother) and the following morning, the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child strayed out of the hospital and was found dead by the river, still wearing a hospital uniform. In my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view, this is a case where the doctrine of </w:t>
      </w:r>
      <w:r>
        <w:rPr>
          <w:rFonts w:ascii="Times New Roman" w:hAnsi="Times New Roman" w:cs="Times New Roman"/>
          <w:i/>
          <w:iCs/>
          <w:color w:val="000000"/>
        </w:rPr>
        <w:t xml:space="preserve">res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ipsa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loquitur </w:t>
      </w:r>
      <w:r>
        <w:rPr>
          <w:rFonts w:ascii="Times New Roman" w:hAnsi="Times New Roman" w:cs="Times New Roman"/>
          <w:color w:val="000000"/>
        </w:rPr>
        <w:t>applies. The plaintiff having established that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child was left in the care of the defendant hospital, it was then upon the hospital to prove that there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 negligence on its part, or on the part of its servants. This it failed to do.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written submissions filed before this Court, the plaintiff’s counsel,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Atkins </w:t>
      </w:r>
      <w:proofErr w:type="spellStart"/>
      <w:r>
        <w:rPr>
          <w:rFonts w:ascii="Times New Roman" w:hAnsi="Times New Roman" w:cs="Times New Roman"/>
          <w:color w:val="000000"/>
        </w:rPr>
        <w:t>Jusa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Ambani</w:t>
      </w:r>
      <w:proofErr w:type="spellEnd"/>
      <w:r>
        <w:rPr>
          <w:rFonts w:ascii="Times New Roman" w:hAnsi="Times New Roman" w:cs="Times New Roman"/>
          <w:color w:val="000000"/>
        </w:rPr>
        <w:t>, argued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even though no particular person at the hospital could be identified as being negligent, the hospital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breached its duty of care to the child in that it allowed the child to stray away from the hospital, and in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failing to ensure that the child was safe and secure while in its care.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agree with counsel’s submissions. Jones MA in his book </w:t>
      </w:r>
      <w:r>
        <w:rPr>
          <w:rFonts w:ascii="Times New Roman" w:hAnsi="Times New Roman" w:cs="Times New Roman"/>
          <w:i/>
          <w:iCs/>
          <w:color w:val="000000"/>
        </w:rPr>
        <w:t xml:space="preserve">Medical Negligence </w:t>
      </w:r>
      <w:r>
        <w:rPr>
          <w:rFonts w:ascii="Times New Roman" w:hAnsi="Times New Roman" w:cs="Times New Roman"/>
          <w:color w:val="000000"/>
        </w:rPr>
        <w:t>(1996), Sweet and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Maxwell, at paragraph 7.015 states: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concept of direct liability of a hospital is used in two distinct ways. First where the authority itself is at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fault in the manner in which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performed its functions, although it may not be possible to identify any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particular employee who was negligent. This may be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categorised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some form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organisational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failure”.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Cassidy v Ministry of Health </w:t>
      </w:r>
      <w:r>
        <w:rPr>
          <w:rFonts w:ascii="Times New Roman" w:hAnsi="Times New Roman" w:cs="Times New Roman"/>
          <w:color w:val="000000"/>
        </w:rPr>
        <w:t>[1951] 2 KB 343 Singleton LJ says at 353: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the thing is shown to be under the management of the defendant or his servants, and the accident is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as in the ordinary course of things does not happen if those who have the management use proper care, it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affords reasonable evidence in the absence of explanation by the defendant that the accident arose for want of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care”.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oral submissions, the defendant’s </w:t>
      </w:r>
      <w:r>
        <w:rPr>
          <w:rFonts w:ascii="Times New Roman" w:hAnsi="Times New Roman" w:cs="Times New Roman"/>
          <w:color w:val="000000"/>
        </w:rPr>
        <w:lastRenderedPageBreak/>
        <w:t>counsel argued that negligence had not been proved because the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only evidence was that the child had disappeared, and that no one at the hospital was found to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blame for it. This argument is clearly untenable in view of what I have stated earlier. Counsel also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either there was “foul play” in the disappearance of the child, or that the child’s father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“had some knowledge of this event, hence his appearance at the hospital at odd hours”. This argument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supported by any evidence, has no basis, and is simply ridiculous. His other argument that the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was time barred having been filed out of time also had no basis, as Amin J had granted leave to file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suit out of time on 3 September 1996.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facts, as I have outlined above, are simple and straightforward and lead inexorably to the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that when a hospital accepts a patient for treatment, it must not only use reasonable care and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skill to cure him of his ailment, but must also provide a safe and secure environment for such treatment.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duty, I believe, is even greater upon certain classes of patients such as the physically challenged and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young children who may need a more careful watch over their safety. Here, the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hospital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 breached that duty of care to his little child, and was grossly negligent in allowing her to stray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beyond her bounds all the way to the river where she was found dead, still wearing the hospital uniform.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and for reasons outlined, I have no hesitation in holding the defendant liable in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negligence to the plaintiff. The next issue is the quantum of damages payable.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written submissions, counsel for the plaintiff has argued that damages are payable under the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3 heads: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L aw Reform Act,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atal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Accidents Act, and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pecial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Damages.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agree with him, and will attempt to assess the damages under the above heads.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Law Act</w:t>
      </w:r>
      <w:r w:rsidR="00C859F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child was only four at the time of her unfortunate death. But she was a happy and healthy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child, and a source of joy and love to her parents. I will follow the judgment of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Musinga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 awarded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80 000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under this head to the parents of a three year old child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Nthenge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Tawfiq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Bus Services Limited </w:t>
      </w:r>
      <w:r>
        <w:rPr>
          <w:rFonts w:ascii="Times New Roman" w:hAnsi="Times New Roman" w:cs="Times New Roman"/>
          <w:color w:val="000000"/>
        </w:rPr>
        <w:t>High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civil case 178 of 1997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and awarded the same amount in respect of this four year deceased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child.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Following the same case I will award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10 000 for pain and suffering.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Fatal Act</w:t>
      </w:r>
      <w:r w:rsidR="00C859F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Once again, I find parallels between this case and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Nthenge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and will adopt the reasoning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that case as follows: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“Under the Fatal Accidents Act damages are awarded for loss of dependence as well as special damages. In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Hassan v Nathan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Transporters and others </w:t>
      </w:r>
      <w:r>
        <w:rPr>
          <w:rFonts w:ascii="Times New Roman" w:hAnsi="Times New Roman" w:cs="Times New Roman"/>
          <w:color w:val="000000"/>
          <w:sz w:val="20"/>
          <w:szCs w:val="20"/>
        </w:rPr>
        <w:t>[1982-88] I KAR 946 the Court of Appeal held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in Kenya parents are entitled to rely on their children in old age to support them. However, in that case,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deceased had been admitted to a university to study architecture and so the parents of the deceased had a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reasonable expectation of some income from the deceased son. The situation is quite different in the case of a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three year old child as there is no pointer as to what he would have done in life. It would therefore be purely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speculative and therefore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Judicialy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wrong to hold that such a minor child would have grown up, go through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education successfully, get employment and earned a given amount of money and supported his parents with a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specified amount of money over a given period. Therefore the damages to be awarded under Fatal Accidents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for loss of dependency can only be conventional.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Kenya Breweries Ltd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Saro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civil appeal number 144 of 1990 where the deceased was aged 6 years, the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Court of Appeal approved an award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100 000.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Hussein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Charo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another </w:t>
      </w:r>
      <w:r>
        <w:rPr>
          <w:rFonts w:ascii="Times New Roman" w:hAnsi="Times New Roman" w:cs="Times New Roman"/>
          <w:color w:val="000000"/>
          <w:sz w:val="20"/>
          <w:szCs w:val="20"/>
        </w:rPr>
        <w:t>[1998]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LLR 837 (CAK) the Court of Appeal upheld an award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176 000 where the deceased was 6 years old.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1994, Justice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Githinji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as he then was awarded general damages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120 000 where the deceased was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seven years old.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 therefore believe that an award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200 000 is reasonable under the Fatal Accidents Act”.</w:t>
      </w:r>
      <w:r w:rsidR="00C859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Following the above case, I have also come to the same conclusion, and awarded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under the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Fatal Accidents Act.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an amendment in the plaint, a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5 797 was pleaded for special damages. Receipts</w:t>
      </w:r>
      <w:r w:rsidR="00C859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produced in Court </w:t>
      </w:r>
      <w:proofErr w:type="spellStart"/>
      <w:r>
        <w:rPr>
          <w:rFonts w:ascii="Times New Roman" w:hAnsi="Times New Roman" w:cs="Times New Roman"/>
          <w:color w:val="000000"/>
        </w:rPr>
        <w:t>totalled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5 814. However, I can only allow what was pleaded, and hereby award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5 796 as special damages.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Accordingly, I enter judgment for the plaintiff as follows: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(1) Under the Law Reform Act: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90 000-00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(2) Under the Fatal Accidents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Act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:KShs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200 000-00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(3) Special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damages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:KShs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5 796-00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Total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295 796-00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also award costs and interest to the plaintiff as prayed in the plaint.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Ambani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AJ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Ambani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p w:rsidR="00AB491B" w:rsidRDefault="00AB491B" w:rsidP="00AB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21070D" w:rsidRDefault="00AB491B" w:rsidP="00AB491B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1B"/>
    <w:rsid w:val="0021070D"/>
    <w:rsid w:val="00AB491B"/>
    <w:rsid w:val="00C8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A1FBB-B7C3-4A75-BB92-65ED0B02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2018-07-04T12:36:00Z</dcterms:created>
  <dcterms:modified xsi:type="dcterms:W3CDTF">2018-07-13T13:30:00Z</dcterms:modified>
</cp:coreProperties>
</file>