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6FF" w:rsidRDefault="002476FF" w:rsidP="00247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Muhagama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Government of Zanzibar</w:t>
      </w:r>
    </w:p>
    <w:p w:rsidR="002476FF" w:rsidRDefault="002476FF" w:rsidP="00247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Zanzibar</w:t>
      </w:r>
    </w:p>
    <w:p w:rsidR="002476FF" w:rsidRDefault="002476FF" w:rsidP="00247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31 October 2003</w:t>
      </w:r>
    </w:p>
    <w:p w:rsidR="002476FF" w:rsidRDefault="002476FF" w:rsidP="00247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17/02</w:t>
      </w:r>
    </w:p>
    <w:p w:rsidR="002476FF" w:rsidRDefault="002476FF" w:rsidP="00247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Mroso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Munuo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Nsekela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2476FF" w:rsidRDefault="002476FF" w:rsidP="00247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476FF" w:rsidRDefault="002476FF" w:rsidP="00247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2476FF" w:rsidRDefault="002476FF" w:rsidP="00247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procedure – Right of representation by advocate – Whether trial court has duty to inform</w:t>
      </w:r>
    </w:p>
    <w:p w:rsidR="002476FF" w:rsidRDefault="002476FF" w:rsidP="00247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accused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his right to be represented by an advocate – Section 162 – Criminal Procedure Decree</w:t>
      </w:r>
    </w:p>
    <w:p w:rsidR="002476FF" w:rsidRDefault="002476FF" w:rsidP="00247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(Chapter 14).</w:t>
      </w:r>
    </w:p>
    <w:p w:rsidR="002476FF" w:rsidRDefault="002476FF" w:rsidP="00247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Exhibits – Handling of exhibits by police – Whether possibilities of tampering with</w:t>
      </w:r>
    </w:p>
    <w:p w:rsidR="002476FF" w:rsidRDefault="002476FF" w:rsidP="00247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exhibits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excluded.</w:t>
      </w:r>
    </w:p>
    <w:p w:rsidR="002476FF" w:rsidRDefault="003C7A8F" w:rsidP="003C7A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2476FF" w:rsidRDefault="002476FF" w:rsidP="00247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Mroso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Munuo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Nsekela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 xml:space="preserve">The Appellant was convicted by the Regional Magistrate at </w:t>
      </w:r>
      <w:proofErr w:type="spellStart"/>
      <w:r>
        <w:rPr>
          <w:rFonts w:ascii="Times New Roman" w:hAnsi="Times New Roman" w:cs="Times New Roman"/>
          <w:color w:val="000000"/>
        </w:rPr>
        <w:t>Vuga</w:t>
      </w:r>
      <w:proofErr w:type="spellEnd"/>
      <w:r>
        <w:rPr>
          <w:rFonts w:ascii="Times New Roman" w:hAnsi="Times New Roman" w:cs="Times New Roman"/>
          <w:color w:val="000000"/>
        </w:rPr>
        <w:t>,</w:t>
      </w:r>
    </w:p>
    <w:p w:rsidR="002476FF" w:rsidRDefault="002476FF" w:rsidP="00247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Zanzibar of unlawful possession of a narcotic drug popularly known as “bhang”; contrary to section</w:t>
      </w:r>
    </w:p>
    <w:p w:rsidR="002476FF" w:rsidRDefault="002476FF" w:rsidP="003C7A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17(1) and 32(4) of Act number 6 of 1986, as amended by Act number 6 of 1991 of the Laws of Zanzibar.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was sentenced to 15 years in an education </w:t>
      </w:r>
      <w:proofErr w:type="spellStart"/>
      <w:r>
        <w:rPr>
          <w:rFonts w:ascii="Times New Roman" w:hAnsi="Times New Roman" w:cs="Times New Roman"/>
          <w:color w:val="000000"/>
        </w:rPr>
        <w:t>centre</w:t>
      </w:r>
      <w:proofErr w:type="spellEnd"/>
      <w:r>
        <w:rPr>
          <w:rFonts w:ascii="Times New Roman" w:hAnsi="Times New Roman" w:cs="Times New Roman"/>
          <w:color w:val="000000"/>
        </w:rPr>
        <w:t>. His appeal to the High Court of Zanzibar was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dismissed, hence his appeal to this Court. In this appeal the Appellant was represented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Patel</w:t>
      </w:r>
      <w:r>
        <w:rPr>
          <w:rFonts w:ascii="Times New Roman" w:hAnsi="Times New Roman" w:cs="Times New Roman"/>
          <w:color w:val="000000"/>
        </w:rPr>
        <w:t>,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learned advocate, and the Respondent Government of Zanzibar was represented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Abdulhakim</w:t>
      </w:r>
      <w:proofErr w:type="spellEnd"/>
      <w:r w:rsidR="003C7A8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Ameir</w:t>
      </w:r>
      <w:proofErr w:type="spellEnd"/>
      <w:r>
        <w:rPr>
          <w:rFonts w:ascii="Times New Roman" w:hAnsi="Times New Roman" w:cs="Times New Roman"/>
          <w:color w:val="000000"/>
        </w:rPr>
        <w:t xml:space="preserve">, Learned State Attorney. With the leave of the Court,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Patel </w:t>
      </w:r>
      <w:r>
        <w:rPr>
          <w:rFonts w:ascii="Times New Roman" w:hAnsi="Times New Roman" w:cs="Times New Roman"/>
          <w:color w:val="000000"/>
        </w:rPr>
        <w:t>filed an amended memorandum of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Patel </w:t>
      </w:r>
      <w:r>
        <w:rPr>
          <w:rFonts w:ascii="Times New Roman" w:hAnsi="Times New Roman" w:cs="Times New Roman"/>
          <w:color w:val="000000"/>
        </w:rPr>
        <w:t>filed four grounds of appeal. The first and second grounds were each argued separately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while the third and fourth grounds were argued together. In the first ground it is complained that the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“trial”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 judge erred in law and in fact in not declaring the proceedings, judgment and conviction by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court a nullity for the reason that the trial court did not inform the Appellant of his right under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162 of the Criminal Procedure Decree (Chapter 14) of the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Laws, to engage an advocate. The second ground of appeal is divided into paragraphs (a), (b), (c) and (d).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paragraph (a) the complaint is that the trial Magistrate did not “take part in the proceedings” although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knew that the Appellant was not represented by an advocate. The complaint in paragraph (b) is that a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PC Omar and other independent witnesses were not called by the prosecution and that, therefore, the trial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should have drawn an adverse inference from that failure on the part of the prosecution. In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 (c) it is complained that the bhang which was said to have been “planted” on him could have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tampered with between the time it was alleged to have been found on the Appellant and its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production in court. Paragraph (d) appears to have been more of a submission than a ground of appeal. It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reads – “the Appellant had given a reasonable explanation of innocence in answer to the charge”.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third ground of appeal says that the “trial”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 judge should have held that the trial Magistrate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wrong to sentence the Appellant to 15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years in an education </w:t>
      </w:r>
      <w:proofErr w:type="spellStart"/>
      <w:r>
        <w:rPr>
          <w:rFonts w:ascii="Times New Roman" w:hAnsi="Times New Roman" w:cs="Times New Roman"/>
          <w:color w:val="000000"/>
        </w:rPr>
        <w:t>centre</w:t>
      </w:r>
      <w:proofErr w:type="spellEnd"/>
      <w:r>
        <w:rPr>
          <w:rFonts w:ascii="Times New Roman" w:hAnsi="Times New Roman" w:cs="Times New Roman"/>
          <w:color w:val="000000"/>
        </w:rPr>
        <w:t>, that the sentence was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unconstitutional, excessive and degrading. In the fourth ground it is said that the “trial”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 judge erred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law and facts for not holding as illegal the incarceration of the Appellant in the Central Prison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whereas, under Act number 1 of 1980, he ought to have been sent to an education </w:t>
      </w:r>
      <w:proofErr w:type="spellStart"/>
      <w:r>
        <w:rPr>
          <w:rFonts w:ascii="Times New Roman" w:hAnsi="Times New Roman" w:cs="Times New Roman"/>
          <w:color w:val="000000"/>
        </w:rPr>
        <w:t>centre</w:t>
      </w:r>
      <w:proofErr w:type="spellEnd"/>
      <w:r>
        <w:rPr>
          <w:rFonts w:ascii="Times New Roman" w:hAnsi="Times New Roman" w:cs="Times New Roman"/>
          <w:color w:val="000000"/>
        </w:rPr>
        <w:t xml:space="preserve"> for correction of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his behavior which </w:t>
      </w:r>
      <w:proofErr w:type="spellStart"/>
      <w:r>
        <w:rPr>
          <w:rFonts w:ascii="Times New Roman" w:hAnsi="Times New Roman" w:cs="Times New Roman"/>
          <w:color w:val="000000"/>
        </w:rPr>
        <w:t>centre</w:t>
      </w:r>
      <w:proofErr w:type="spellEnd"/>
      <w:r>
        <w:rPr>
          <w:rFonts w:ascii="Times New Roman" w:hAnsi="Times New Roman" w:cs="Times New Roman"/>
          <w:color w:val="000000"/>
        </w:rPr>
        <w:t xml:space="preserve"> at any rate, he said, was non-existent in Zanzibar.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evidence which led to the conviction of the Appellant was that on 16 September 1998 seven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police constables who included PW2 – PC </w:t>
      </w:r>
      <w:proofErr w:type="spellStart"/>
      <w:r>
        <w:rPr>
          <w:rFonts w:ascii="Times New Roman" w:hAnsi="Times New Roman" w:cs="Times New Roman"/>
          <w:color w:val="000000"/>
        </w:rPr>
        <w:t>Salum</w:t>
      </w:r>
      <w:proofErr w:type="spellEnd"/>
      <w:r>
        <w:rPr>
          <w:rFonts w:ascii="Times New Roman" w:hAnsi="Times New Roman" w:cs="Times New Roman"/>
          <w:color w:val="000000"/>
        </w:rPr>
        <w:t xml:space="preserve"> Rashid, PW3 – PC Ali and a PC Omar all from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Ng’ambo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 were on patrol at a place known as </w:t>
      </w:r>
      <w:proofErr w:type="spellStart"/>
      <w:r>
        <w:rPr>
          <w:rFonts w:ascii="Times New Roman" w:hAnsi="Times New Roman" w:cs="Times New Roman"/>
          <w:color w:val="000000"/>
        </w:rPr>
        <w:t>Nyaruguso</w:t>
      </w:r>
      <w:proofErr w:type="spellEnd"/>
      <w:r>
        <w:rPr>
          <w:rFonts w:ascii="Times New Roman" w:hAnsi="Times New Roman" w:cs="Times New Roman"/>
          <w:color w:val="000000"/>
        </w:rPr>
        <w:t>. They saw a group of people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among whom was the Appellant. It was said that the Appellant immediately took flight. He was chased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arrested by the police who had become curious as to why he had acted so suspiciously. PC Ali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searched the Appellant and in the front part of his underpants a packet in a blue plastic bag was found. In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bag there were 46 packets wrapped in khaki paper. The packets contained dried leaves which the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police suspected to be bhang. The Appellant was then taken to </w:t>
      </w:r>
      <w:proofErr w:type="spellStart"/>
      <w:r>
        <w:rPr>
          <w:rFonts w:ascii="Times New Roman" w:hAnsi="Times New Roman" w:cs="Times New Roman"/>
          <w:color w:val="000000"/>
        </w:rPr>
        <w:t>Ng’ambo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 and subsequently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was charged in court.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substances which were said to have been found in the possession of the Appellant were on 12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October 1998 sent by PW4 – DC </w:t>
      </w:r>
      <w:proofErr w:type="spellStart"/>
      <w:r>
        <w:rPr>
          <w:rFonts w:ascii="Times New Roman" w:hAnsi="Times New Roman" w:cs="Times New Roman"/>
          <w:color w:val="000000"/>
        </w:rPr>
        <w:t>Shamna</w:t>
      </w:r>
      <w:proofErr w:type="spellEnd"/>
      <w:r>
        <w:rPr>
          <w:rFonts w:ascii="Times New Roman" w:hAnsi="Times New Roman" w:cs="Times New Roman"/>
          <w:color w:val="000000"/>
        </w:rPr>
        <w:t xml:space="preserve"> – to the Government Chemist for analysis to establish what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they were. PW1 – </w:t>
      </w:r>
      <w:proofErr w:type="spellStart"/>
      <w:r>
        <w:rPr>
          <w:rFonts w:ascii="Times New Roman" w:hAnsi="Times New Roman" w:cs="Times New Roman"/>
          <w:color w:val="000000"/>
        </w:rPr>
        <w:t>Kazija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Juma</w:t>
      </w:r>
      <w:proofErr w:type="spellEnd"/>
      <w:r>
        <w:rPr>
          <w:rFonts w:ascii="Times New Roman" w:hAnsi="Times New Roman" w:cs="Times New Roman"/>
          <w:color w:val="000000"/>
        </w:rPr>
        <w:t xml:space="preserve"> Hassan who worked in the Government Chemist Laboratory as a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Government analyst – said on 12 October 1998 he received 46 </w:t>
      </w:r>
      <w:r>
        <w:rPr>
          <w:rFonts w:ascii="Times New Roman" w:hAnsi="Times New Roman" w:cs="Times New Roman"/>
          <w:color w:val="000000"/>
        </w:rPr>
        <w:lastRenderedPageBreak/>
        <w:t>packets which were wrapped in khaki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paper and were in a plastic blue bag from a person he called PC </w:t>
      </w:r>
      <w:proofErr w:type="spellStart"/>
      <w:r>
        <w:rPr>
          <w:rFonts w:ascii="Times New Roman" w:hAnsi="Times New Roman" w:cs="Times New Roman"/>
          <w:color w:val="000000"/>
        </w:rPr>
        <w:t>Shamhuna</w:t>
      </w:r>
      <w:proofErr w:type="spellEnd"/>
      <w:r>
        <w:rPr>
          <w:rFonts w:ascii="Times New Roman" w:hAnsi="Times New Roman" w:cs="Times New Roman"/>
          <w:color w:val="000000"/>
        </w:rPr>
        <w:t xml:space="preserve"> with Force number D.9193. It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therefore possible PW1 did not get correctly the name of the detective constable who brought the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samples. All the 46 packets together weighted 9</w:t>
      </w:r>
      <w:proofErr w:type="gramStart"/>
      <w:r>
        <w:rPr>
          <w:rFonts w:ascii="Times New Roman" w:hAnsi="Times New Roman" w:cs="Times New Roman"/>
          <w:color w:val="000000"/>
        </w:rPr>
        <w:t>,1443</w:t>
      </w:r>
      <w:proofErr w:type="gramEnd"/>
      <w:r>
        <w:rPr>
          <w:rFonts w:ascii="Times New Roman" w:hAnsi="Times New Roman" w:cs="Times New Roman"/>
          <w:color w:val="000000"/>
        </w:rPr>
        <w:t xml:space="preserve"> grams.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28 April 1999 </w:t>
      </w:r>
      <w:proofErr w:type="spellStart"/>
      <w:r>
        <w:rPr>
          <w:rFonts w:ascii="Times New Roman" w:hAnsi="Times New Roman" w:cs="Times New Roman"/>
          <w:color w:val="000000"/>
        </w:rPr>
        <w:t>Kazija</w:t>
      </w:r>
      <w:proofErr w:type="spellEnd"/>
      <w:r>
        <w:rPr>
          <w:rFonts w:ascii="Times New Roman" w:hAnsi="Times New Roman" w:cs="Times New Roman"/>
          <w:color w:val="000000"/>
        </w:rPr>
        <w:t xml:space="preserve"> Hassan issued a certificate of analysis regarding the samples he had received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police. It said that the samples were bhang because they contained what he called “cannabinol”.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sealed the samples and handed them together with the certificate of analysis to DC </w:t>
      </w:r>
      <w:proofErr w:type="spellStart"/>
      <w:r>
        <w:rPr>
          <w:rFonts w:ascii="Times New Roman" w:hAnsi="Times New Roman" w:cs="Times New Roman"/>
          <w:color w:val="000000"/>
        </w:rPr>
        <w:t>Shamna</w:t>
      </w:r>
      <w:proofErr w:type="spellEnd"/>
      <w:r>
        <w:rPr>
          <w:rFonts w:ascii="Times New Roman" w:hAnsi="Times New Roman" w:cs="Times New Roman"/>
          <w:color w:val="000000"/>
        </w:rPr>
        <w:t>. Both the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samples and the certificate were produced at the trial of the Appellant as exhibits.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trial Magistrate the Appellant gave evidence on oath denying he was ever found in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possession of the bhang. He had been sitting with colleagues when one out of a group of policemen on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patrol picked him and took him to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Ng’ambo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station. At the police station police counted 40 packets containing bhang and alleged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they belonged to him (Appellant). His protests were not heeded and on the following day he was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charged in court with the offence of which he was later convicted.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appeal to the High Court his advocate, the same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Patel</w:t>
      </w:r>
      <w:r>
        <w:rPr>
          <w:rFonts w:ascii="Times New Roman" w:hAnsi="Times New Roman" w:cs="Times New Roman"/>
          <w:color w:val="000000"/>
        </w:rPr>
        <w:t>, filed 12 grounds of appeal. Some of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grounds contained complaints which are similar to the ones before this Court. For example, there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the complaints that the Appellant ought to have been informed of his right under section 162 of the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Procedure Decree to be defended by an advocate and that such a right is also provided in the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Zanzibar Constitution; that the trial Magistrate “ought to have taken part in the proceedings”, considering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Appellant was undefended. It was also complained that PC Omar ought to have been called as a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 by the prosecution and that the court should have drawn an adverse inference against the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prosecution for the failure to call PC Omar. Alternatively, the court should have acted under section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138(1) of the Criminal Procedure Decree (Chapter 14) to summon that witness. The issue that “the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alleged Exhibit Bhang” could have been tampered with, that the Appellant had given a reasonable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explanation to justify his acquittal and that the sentence which was meted out on the Appellant was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excessive and unconstitutional were also raised. Finally, it was also complained that there is in fact no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“Chuo cha </w:t>
      </w:r>
      <w:proofErr w:type="spellStart"/>
      <w:r>
        <w:rPr>
          <w:rFonts w:ascii="Times New Roman" w:hAnsi="Times New Roman" w:cs="Times New Roman"/>
          <w:color w:val="000000"/>
        </w:rPr>
        <w:t>Mafunzo</w:t>
      </w:r>
      <w:proofErr w:type="spellEnd"/>
      <w:r>
        <w:rPr>
          <w:rFonts w:ascii="Times New Roman" w:hAnsi="Times New Roman" w:cs="Times New Roman"/>
          <w:color w:val="000000"/>
        </w:rPr>
        <w:t>” to which the Appellant as a convicted person could have been sent.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High Court, </w:t>
      </w:r>
      <w:proofErr w:type="spellStart"/>
      <w:r>
        <w:rPr>
          <w:rFonts w:ascii="Times New Roman" w:hAnsi="Times New Roman" w:cs="Times New Roman"/>
          <w:color w:val="000000"/>
        </w:rPr>
        <w:t>Dourado</w:t>
      </w:r>
      <w:proofErr w:type="spellEnd"/>
      <w:r>
        <w:rPr>
          <w:rFonts w:ascii="Times New Roman" w:hAnsi="Times New Roman" w:cs="Times New Roman"/>
          <w:color w:val="000000"/>
        </w:rPr>
        <w:t xml:space="preserve"> J, very briefly dealt with the appeal. In a two-page judgment he dismissed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appeal. There was no discussion at all of the merits or otherwise of the grounds of the appeal. The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quick conclusion was that the (prosecution) case had been proved beyond reasonable doubt. Regarding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sentence the Learned Judge of the first appellate court said that it was the minimum under the law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it was not unconstitutional. On the complaint that a “Chuo cha </w:t>
      </w:r>
      <w:proofErr w:type="spellStart"/>
      <w:r>
        <w:rPr>
          <w:rFonts w:ascii="Times New Roman" w:hAnsi="Times New Roman" w:cs="Times New Roman"/>
          <w:color w:val="000000"/>
        </w:rPr>
        <w:t>Mafunzo</w:t>
      </w:r>
      <w:proofErr w:type="spellEnd"/>
      <w:r>
        <w:rPr>
          <w:rFonts w:ascii="Times New Roman" w:hAnsi="Times New Roman" w:cs="Times New Roman"/>
          <w:color w:val="000000"/>
        </w:rPr>
        <w:t>” did not exist, the High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said: “Regarding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Patel</w:t>
      </w:r>
      <w:r>
        <w:rPr>
          <w:rFonts w:ascii="Times New Roman" w:hAnsi="Times New Roman" w:cs="Times New Roman"/>
          <w:color w:val="000000"/>
        </w:rPr>
        <w:t>’s submissions that the accused was not sent to prison but to an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educational institution, section 32 of Act number 6/1991 provides that an accused shall on conviction be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 to an Educational Centre”. The High Court then as already mentioned dismissed the appeal. Before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discuss the grounds of appeal as presented and argued before us, we wish to observe that in the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quotation which we just made above the Learned High Court Judge imputed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Patel </w:t>
      </w:r>
      <w:r>
        <w:rPr>
          <w:rFonts w:ascii="Times New Roman" w:hAnsi="Times New Roman" w:cs="Times New Roman"/>
          <w:color w:val="000000"/>
        </w:rPr>
        <w:t>the exact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opposite of what he had submitted before him.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Patel </w:t>
      </w:r>
      <w:r>
        <w:rPr>
          <w:rFonts w:ascii="Times New Roman" w:hAnsi="Times New Roman" w:cs="Times New Roman"/>
          <w:color w:val="000000"/>
        </w:rPr>
        <w:t>was not agitating for his client to be sent to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prison but to a true Chuo cha </w:t>
      </w:r>
      <w:proofErr w:type="spellStart"/>
      <w:r>
        <w:rPr>
          <w:rFonts w:ascii="Times New Roman" w:hAnsi="Times New Roman" w:cs="Times New Roman"/>
          <w:color w:val="000000"/>
        </w:rPr>
        <w:t>Mafunzo</w:t>
      </w:r>
      <w:proofErr w:type="spellEnd"/>
      <w:r>
        <w:rPr>
          <w:rFonts w:ascii="Times New Roman" w:hAnsi="Times New Roman" w:cs="Times New Roman"/>
          <w:color w:val="000000"/>
        </w:rPr>
        <w:t xml:space="preserve">, which according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Patel</w:t>
      </w:r>
      <w:r>
        <w:rPr>
          <w:rFonts w:ascii="Times New Roman" w:hAnsi="Times New Roman" w:cs="Times New Roman"/>
          <w:color w:val="000000"/>
        </w:rPr>
        <w:t>, did not exist, and that instead his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client had been sent to a prison contrary to law. That was also his complaint before us. Now to the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grounds of appeal.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already pointed out earlier in this judgment the first ground was that the trial was a nullity because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court did not inform the Appellant of his right to be defended by an advocate.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think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Patel </w:t>
      </w:r>
      <w:r>
        <w:rPr>
          <w:rFonts w:ascii="Times New Roman" w:hAnsi="Times New Roman" w:cs="Times New Roman"/>
          <w:color w:val="000000"/>
        </w:rPr>
        <w:t>has misconstrued section 162 of the Criminal Procedure Decree. The section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reads as follows: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“162. In the absence of any provision in any other law to the contrary, any person accused before any</w:t>
      </w:r>
      <w:r w:rsidR="003C7A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criminal court and against whom proceedings are instituted under this decree in any such court may of</w:t>
      </w:r>
      <w:r w:rsidR="003C7A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right be defended by an advocate”.</w:t>
      </w:r>
      <w:r w:rsidR="003C7A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our considered view, the section merely declares the right of a person who is charged in any criminal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to be defended by an advocate where he chooses to have such services. It does not impose an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obligation on the court to inform an accused person that he has such right. As was rightly argued by the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State Attorney, where the Decree imposes such a duty or obligation on the court it says so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explicitly. Examples can be found in sections 175 and 178. In section 175(1) a duty is placed on the court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state the substance of the charge to an accused person and in section 178(1) the court is required again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explain the substance of the charge to the accused person if it finds that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had been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established by the prosecution. The court is also required to inform the accused of his right to give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evidence on oath and to call witnesses or other evidence in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or give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not under oath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to call witnesses as well.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Patel </w:t>
      </w:r>
      <w:r>
        <w:rPr>
          <w:rFonts w:ascii="Times New Roman" w:hAnsi="Times New Roman" w:cs="Times New Roman"/>
          <w:color w:val="000000"/>
        </w:rPr>
        <w:t xml:space="preserve">has contended that the right to be defended by an advocate </w:t>
      </w:r>
      <w:r>
        <w:rPr>
          <w:rFonts w:ascii="Times New Roman" w:hAnsi="Times New Roman" w:cs="Times New Roman"/>
          <w:color w:val="000000"/>
        </w:rPr>
        <w:lastRenderedPageBreak/>
        <w:t>goes with the right to be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informed by the court of that right. He cited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Mjengi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[1992] TLR 157 in which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Mwalusanya</w:t>
      </w:r>
      <w:proofErr w:type="spellEnd"/>
      <w:r>
        <w:rPr>
          <w:rFonts w:ascii="Times New Roman" w:hAnsi="Times New Roman" w:cs="Times New Roman"/>
          <w:color w:val="000000"/>
        </w:rPr>
        <w:t xml:space="preserve"> J, as he then was, held that the right to legal representation implies the right to be informed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that right and that failure to inform an accused person of that right rendered a trial a nullity. But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Mwalusanya</w:t>
      </w:r>
      <w:proofErr w:type="spellEnd"/>
      <w:r>
        <w:rPr>
          <w:rFonts w:ascii="Times New Roman" w:hAnsi="Times New Roman" w:cs="Times New Roman"/>
          <w:color w:val="000000"/>
        </w:rPr>
        <w:t xml:space="preserve"> J was not discussing the right to legal representation in general. He was discussing section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310 of the Criminal Procedure Act, 1985 (Tanzania Mainland) read together with section 3 of the Legal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Aid (Criminal Proceedings) Act number 21 of 1969. Section 3 of Act number 21 of 1969 gave power to a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certifying authority to direct that free legal aid be provided to indigent accused persons who face criminal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charges in court. Section 310 of the Criminal Procedure Act, 1985 reads: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“310 Any person accused before any criminal court, other than a primary court, may of right be defended by</w:t>
      </w:r>
      <w:r w:rsidR="003C7A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 advocate of the High Court, subject always to the provisions of any rules of court made by the High</w:t>
      </w:r>
      <w:r w:rsidR="003C7A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under powers conferred by article 26 of the Tanganyika Order in Council of 1920”.</w:t>
      </w:r>
      <w:r w:rsidR="003C7A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By reading section 310 of the Criminal Procedure Act, 1985 together with section 3 of Act number 21 of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1969 the Judge was </w:t>
      </w:r>
      <w:proofErr w:type="spellStart"/>
      <w:r>
        <w:rPr>
          <w:rFonts w:ascii="Times New Roman" w:hAnsi="Times New Roman" w:cs="Times New Roman"/>
          <w:color w:val="000000"/>
        </w:rPr>
        <w:t>emphasising</w:t>
      </w:r>
      <w:proofErr w:type="spellEnd"/>
      <w:r>
        <w:rPr>
          <w:rFonts w:ascii="Times New Roman" w:hAnsi="Times New Roman" w:cs="Times New Roman"/>
          <w:color w:val="000000"/>
        </w:rPr>
        <w:t xml:space="preserve"> the right to free legal aid to an indigent accused person. That was why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said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Kifunda</w:t>
      </w:r>
      <w:proofErr w:type="spellEnd"/>
      <w:r>
        <w:rPr>
          <w:rFonts w:ascii="Times New Roman" w:hAnsi="Times New Roman" w:cs="Times New Roman"/>
          <w:color w:val="000000"/>
        </w:rPr>
        <w:t xml:space="preserve">, a State Attorney who represented the Republic on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Mjengi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case: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“Counsel for the Republic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Kifunda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was candid enough to concede that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 poor accused person </w:t>
      </w:r>
      <w:r>
        <w:rPr>
          <w:rFonts w:ascii="Times New Roman" w:hAnsi="Times New Roman" w:cs="Times New Roman"/>
          <w:color w:val="000000"/>
          <w:sz w:val="20"/>
          <w:szCs w:val="20"/>
        </w:rPr>
        <w:t>has a</w:t>
      </w:r>
      <w:r w:rsidR="003C7A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statutory right to be provided with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free legal aid </w:t>
      </w:r>
      <w:r>
        <w:rPr>
          <w:rFonts w:ascii="Times New Roman" w:hAnsi="Times New Roman" w:cs="Times New Roman"/>
          <w:color w:val="000000"/>
          <w:sz w:val="20"/>
          <w:szCs w:val="20"/>
        </w:rPr>
        <w:t>and to be informed of that right by the court. He said that</w:t>
      </w:r>
      <w:r w:rsidR="003C7A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right stems from the purposeful construction of section 310 of the CPA as read in the light of section 3 of the</w:t>
      </w:r>
      <w:r w:rsidR="003C7A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 number 21 of 1969” (our emphasis).</w:t>
      </w:r>
      <w:r w:rsidR="003C7A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So,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Mjengi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the High Court had in mind indigent appellants and, in fact, acting under section 3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Legal Aid (Criminal Proceedings) Act number 21 of 1969 the Judge assigned an advocate to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 the Appellant before him free legal services in prosecuting their appeal. To conclude his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argument on the need for free legal aid to poor accused persons, the Judge said: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“That is why I held that the statutory right to legal representation is contained in section 310 of the CPA</w:t>
      </w:r>
      <w:r w:rsidR="003C7A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number 9 of 1985 as interpreted in the light of international human rights stands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and norms as above</w:t>
      </w:r>
      <w:r w:rsidR="003C7A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adumbrated. In short section 310 of the CPA should be interpreted to mean that those who can afford to pay</w:t>
      </w:r>
      <w:r w:rsidR="003C7A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have a right to legal representation; and those who cannot afford to pay (that is who are poor) have an equal</w:t>
      </w:r>
      <w:r w:rsidR="003C7A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right to free legal aid paid for by the state, as provided in the Legal Aid (Criminal Proceedings) Act number</w:t>
      </w:r>
      <w:r w:rsidR="003C7A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21 of 1969. That right includes the right to be informed of that right by the trial court”.</w:t>
      </w:r>
      <w:r w:rsidR="003C7A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understand </w:t>
      </w:r>
      <w:proofErr w:type="spellStart"/>
      <w:r>
        <w:rPr>
          <w:rFonts w:ascii="Times New Roman" w:hAnsi="Times New Roman" w:cs="Times New Roman"/>
          <w:color w:val="000000"/>
        </w:rPr>
        <w:t>Mwalusanya</w:t>
      </w:r>
      <w:proofErr w:type="spellEnd"/>
      <w:r>
        <w:rPr>
          <w:rFonts w:ascii="Times New Roman" w:hAnsi="Times New Roman" w:cs="Times New Roman"/>
          <w:color w:val="000000"/>
        </w:rPr>
        <w:t xml:space="preserve"> J to be saying that the poor who are entitled to free legal aid should be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informed by the court that they have such a right.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in this appeal did not claim to be indigent and, therefore, in need of free legal aid. In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 he engaged an advocate in both the High Court and in this Court. We do not think, therefore, that the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omission by the trial court to inform him that he had a right to engage an advocate, if he wanted to, had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effect of nullifying the whole trial. We dismiss that ground of appeal.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Regarding the second ground of appeal we are satisfied that the trial court observed the statutory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requirements in the conduct of the trial. We could not find any indications that the trial Magistrate failed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provide necessary protection to the Appellant in the course of the trial as to deserve censure. We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would at any rate agree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Patel </w:t>
      </w:r>
      <w:r>
        <w:rPr>
          <w:rFonts w:ascii="Times New Roman" w:hAnsi="Times New Roman" w:cs="Times New Roman"/>
          <w:color w:val="000000"/>
        </w:rPr>
        <w:t>that, as a general proposition, a judge or magistrate must not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preside on a trial like a football match referee but must ensure that an unrepresented party is not bullied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an advocate for the other party and that he is guided by the court to present his case as fully as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possible, without the court appearing to lose its impartiality.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find the complaint that one PC Omar should have been called by the prosecution unnecessary.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policeman was mentioned as simply one of the seven police officers who were on patrol when the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arrested. There is no particular reason why the prosecution should have called him as their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 if they felt that he would not add any material evidence to their case. Nor do we think that there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reason for the trial court to call him as a court witness. The Appellant did not intimate to the court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PC Omar should be called as a witness.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Patel </w:t>
      </w:r>
      <w:r>
        <w:rPr>
          <w:rFonts w:ascii="Times New Roman" w:hAnsi="Times New Roman" w:cs="Times New Roman"/>
          <w:color w:val="000000"/>
        </w:rPr>
        <w:t>argued at some length that there was a possibility that the contents of the 46 packets which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found by the Government Chemist to be bhang could have been tampered with between the time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were said to have been found on the Appellant and when they were tendered in court as exhibits.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Really the time between the analysis by the Government Chemist and the production of the packets as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exhibits in court is not all that important when the question of tampering is considered. The really crucial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time was between the seizure of the packets by the police at </w:t>
      </w:r>
      <w:proofErr w:type="spellStart"/>
      <w:r>
        <w:rPr>
          <w:rFonts w:ascii="Times New Roman" w:hAnsi="Times New Roman" w:cs="Times New Roman"/>
          <w:color w:val="000000"/>
        </w:rPr>
        <w:t>Nyaruguso</w:t>
      </w:r>
      <w:proofErr w:type="spellEnd"/>
      <w:r>
        <w:rPr>
          <w:rFonts w:ascii="Times New Roman" w:hAnsi="Times New Roman" w:cs="Times New Roman"/>
          <w:color w:val="000000"/>
        </w:rPr>
        <w:t xml:space="preserve"> and the analysis of the contents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PW1 – </w:t>
      </w:r>
      <w:proofErr w:type="spellStart"/>
      <w:r>
        <w:rPr>
          <w:rFonts w:ascii="Times New Roman" w:hAnsi="Times New Roman" w:cs="Times New Roman"/>
          <w:color w:val="000000"/>
        </w:rPr>
        <w:t>Kazija</w:t>
      </w:r>
      <w:proofErr w:type="spellEnd"/>
      <w:r>
        <w:rPr>
          <w:rFonts w:ascii="Times New Roman" w:hAnsi="Times New Roman" w:cs="Times New Roman"/>
          <w:color w:val="000000"/>
        </w:rPr>
        <w:t xml:space="preserve"> Hassan. If there was tampering during that period then PW1 may have </w:t>
      </w:r>
      <w:proofErr w:type="spellStart"/>
      <w:r>
        <w:rPr>
          <w:rFonts w:ascii="Times New Roman" w:hAnsi="Times New Roman" w:cs="Times New Roman"/>
          <w:color w:val="000000"/>
        </w:rPr>
        <w:t>analysed</w:t>
      </w:r>
      <w:proofErr w:type="spellEnd"/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something other than what was found on the Appellant. There is need therefore to follow carefully the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handling of what was seized from the Appellant up to the time of analysis by the Government Chemist of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was believed to have been found on the Appellant.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Both PW2 – PC </w:t>
      </w:r>
      <w:proofErr w:type="spellStart"/>
      <w:r>
        <w:rPr>
          <w:rFonts w:ascii="Times New Roman" w:hAnsi="Times New Roman" w:cs="Times New Roman"/>
          <w:color w:val="000000"/>
        </w:rPr>
        <w:t>Salum</w:t>
      </w:r>
      <w:proofErr w:type="spellEnd"/>
      <w:r>
        <w:rPr>
          <w:rFonts w:ascii="Times New Roman" w:hAnsi="Times New Roman" w:cs="Times New Roman"/>
          <w:color w:val="000000"/>
        </w:rPr>
        <w:t xml:space="preserve"> Rashid – and PW3 – PC Ali – said that when the 46 packets in khaki wrappers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</w:t>
      </w:r>
      <w:r>
        <w:rPr>
          <w:rFonts w:ascii="Times New Roman" w:hAnsi="Times New Roman" w:cs="Times New Roman"/>
          <w:color w:val="000000"/>
        </w:rPr>
        <w:lastRenderedPageBreak/>
        <w:t>opened they were found to contain dried leaves which they believed were bhang. From that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it is obvious that the packets could be easily opened for the contents to be exposed. When the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packets in the blue plastic bag were taken to the police station the evidence is silent on who received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 and, whoever received them, what he did with them, or where he kept them. So, for 13 days up to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29 September 1998 when PW4 – DC </w:t>
      </w:r>
      <w:proofErr w:type="spellStart"/>
      <w:r>
        <w:rPr>
          <w:rFonts w:ascii="Times New Roman" w:hAnsi="Times New Roman" w:cs="Times New Roman"/>
          <w:color w:val="000000"/>
        </w:rPr>
        <w:t>Shamna</w:t>
      </w:r>
      <w:proofErr w:type="spellEnd"/>
      <w:r>
        <w:rPr>
          <w:rFonts w:ascii="Times New Roman" w:hAnsi="Times New Roman" w:cs="Times New Roman"/>
          <w:color w:val="000000"/>
        </w:rPr>
        <w:t xml:space="preserve"> – was instructed to investigate the case nothing is known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about the condition of the packets. PW4 was given by an undisclosed clerk what he called “the exhibit of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case” and at an unknown time and date he sealed it and sent it to the Government Chemist, PW1 –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Kazija</w:t>
      </w:r>
      <w:proofErr w:type="spellEnd"/>
      <w:r>
        <w:rPr>
          <w:rFonts w:ascii="Times New Roman" w:hAnsi="Times New Roman" w:cs="Times New Roman"/>
          <w:color w:val="000000"/>
        </w:rPr>
        <w:t xml:space="preserve"> Hassan – on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12 October 1998. This was a period of twenty-six (26) days after 46 packets of suspected bhang were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on the Appellant.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PW1 said the packets weighed 9</w:t>
      </w:r>
      <w:proofErr w:type="gramStart"/>
      <w:r>
        <w:rPr>
          <w:rFonts w:ascii="Times New Roman" w:hAnsi="Times New Roman" w:cs="Times New Roman"/>
          <w:color w:val="000000"/>
        </w:rPr>
        <w:t>,1443</w:t>
      </w:r>
      <w:proofErr w:type="gramEnd"/>
      <w:r>
        <w:rPr>
          <w:rFonts w:ascii="Times New Roman" w:hAnsi="Times New Roman" w:cs="Times New Roman"/>
          <w:color w:val="000000"/>
        </w:rPr>
        <w:t xml:space="preserve"> grams but it is not known what the 46 packets seized from the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weighed. What is being said here is that there is no assurance that the substances which were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found on the Appellant were the same ones which PW4 – DC </w:t>
      </w:r>
      <w:proofErr w:type="spellStart"/>
      <w:r>
        <w:rPr>
          <w:rFonts w:ascii="Times New Roman" w:hAnsi="Times New Roman" w:cs="Times New Roman"/>
          <w:color w:val="000000"/>
        </w:rPr>
        <w:t>Shamna</w:t>
      </w:r>
      <w:proofErr w:type="spellEnd"/>
      <w:r>
        <w:rPr>
          <w:rFonts w:ascii="Times New Roman" w:hAnsi="Times New Roman" w:cs="Times New Roman"/>
          <w:color w:val="000000"/>
        </w:rPr>
        <w:t xml:space="preserve"> – was handed by the anonymous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clerk on 29 September 1998 and which he sealed on an undisclosed date between 29 September and 12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October 1998 when he took them to PW1 – </w:t>
      </w:r>
      <w:proofErr w:type="spellStart"/>
      <w:r>
        <w:rPr>
          <w:rFonts w:ascii="Times New Roman" w:hAnsi="Times New Roman" w:cs="Times New Roman"/>
          <w:color w:val="000000"/>
        </w:rPr>
        <w:t>Kazija</w:t>
      </w:r>
      <w:proofErr w:type="spellEnd"/>
      <w:r>
        <w:rPr>
          <w:rFonts w:ascii="Times New Roman" w:hAnsi="Times New Roman" w:cs="Times New Roman"/>
          <w:color w:val="000000"/>
        </w:rPr>
        <w:t xml:space="preserve"> Hassan. The possibility that there may have been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tampering with the contents of the 46 khaki packets when they were lying at </w:t>
      </w:r>
      <w:proofErr w:type="spellStart"/>
      <w:r>
        <w:rPr>
          <w:rFonts w:ascii="Times New Roman" w:hAnsi="Times New Roman" w:cs="Times New Roman"/>
          <w:color w:val="000000"/>
        </w:rPr>
        <w:t>Ng’ambo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cannot be ruled out.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Patel</w:t>
      </w:r>
      <w:r>
        <w:rPr>
          <w:rFonts w:ascii="Times New Roman" w:hAnsi="Times New Roman" w:cs="Times New Roman"/>
          <w:color w:val="000000"/>
        </w:rPr>
        <w:t>, therefore, cannot be said to be raising baseless concerns when he raised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issue that there may have been tampering with what was said to have been seized from the Appellant.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 after samples were received in the Government Laboratory a period of over six months elapsed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PW1 could issue the certificate of analysis to the effect that the packets contained bhang. It is not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certain if the analysis was done soon after the packets were received from DC </w:t>
      </w:r>
      <w:proofErr w:type="spellStart"/>
      <w:r>
        <w:rPr>
          <w:rFonts w:ascii="Times New Roman" w:hAnsi="Times New Roman" w:cs="Times New Roman"/>
          <w:color w:val="000000"/>
        </w:rPr>
        <w:t>Shamna</w:t>
      </w:r>
      <w:proofErr w:type="spellEnd"/>
      <w:r>
        <w:rPr>
          <w:rFonts w:ascii="Times New Roman" w:hAnsi="Times New Roman" w:cs="Times New Roman"/>
          <w:color w:val="000000"/>
        </w:rPr>
        <w:t xml:space="preserve"> or whether it was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done on 28 April 1999 when the certificate was issued. The chance of tampering in the Government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Laboratory before analysis was done is also not eliminated.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think the vital missing link in the handing of the samples from the time they were taken to the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police station to the time of chemical analysis has created a real doubt if the prosecution proved its case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the Appellant to the required standard.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Unfortunately, the High Court, as a first appellate court, did not subject the evidence to critical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evaluation. Had it done so it would have come to the obvious conclusion that reasonable doubt existed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that the Appellant was to be given the benefit of that </w:t>
      </w:r>
      <w:proofErr w:type="gramStart"/>
      <w:r>
        <w:rPr>
          <w:rFonts w:ascii="Times New Roman" w:hAnsi="Times New Roman" w:cs="Times New Roman"/>
          <w:color w:val="000000"/>
        </w:rPr>
        <w:t>doubt.</w:t>
      </w:r>
      <w:proofErr w:type="gramEnd"/>
      <w:r>
        <w:rPr>
          <w:rFonts w:ascii="Times New Roman" w:hAnsi="Times New Roman" w:cs="Times New Roman"/>
          <w:color w:val="000000"/>
        </w:rPr>
        <w:t xml:space="preserve"> The result would have been to allow the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view of the conclusion we have reached it is unnecessary of us to discuss whether the sentence of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15 years, which was the statutory minimum, if the conviction were sound, was unconstitutional. We also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observe that ground 4 in the memorandum of appeal was in any case unnecessary because the trial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Magistrate sentenced the Appellant to be sent to one of what are known as education </w:t>
      </w:r>
      <w:proofErr w:type="spellStart"/>
      <w:r>
        <w:rPr>
          <w:rFonts w:ascii="Times New Roman" w:hAnsi="Times New Roman" w:cs="Times New Roman"/>
          <w:color w:val="000000"/>
        </w:rPr>
        <w:t>centres</w:t>
      </w:r>
      <w:proofErr w:type="spellEnd"/>
      <w:r>
        <w:rPr>
          <w:rFonts w:ascii="Times New Roman" w:hAnsi="Times New Roman" w:cs="Times New Roman"/>
          <w:color w:val="000000"/>
        </w:rPr>
        <w:t>, required by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law. If we had upheld the conviction we would not have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the trial Magistrate for sentencing the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as he did. Whether those education </w:t>
      </w:r>
      <w:proofErr w:type="spellStart"/>
      <w:r>
        <w:rPr>
          <w:rFonts w:ascii="Times New Roman" w:hAnsi="Times New Roman" w:cs="Times New Roman"/>
          <w:color w:val="000000"/>
        </w:rPr>
        <w:t>centres</w:t>
      </w:r>
      <w:proofErr w:type="spellEnd"/>
      <w:r>
        <w:rPr>
          <w:rFonts w:ascii="Times New Roman" w:hAnsi="Times New Roman" w:cs="Times New Roman"/>
          <w:color w:val="000000"/>
        </w:rPr>
        <w:t xml:space="preserve"> are in truth not educational but are penal prisons as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contended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Patel</w:t>
      </w:r>
      <w:r>
        <w:rPr>
          <w:rFonts w:ascii="Times New Roman" w:hAnsi="Times New Roman" w:cs="Times New Roman"/>
          <w:color w:val="000000"/>
        </w:rPr>
        <w:t>, cannot be blamed on the trial court. If it is in fact an issue as to what in reality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institutions are, then it should be directed to the appropriate authorities for remedial legal or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administrative action.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should now be clear that the appeal must be allowed. The decisions of the two lower courts are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quashed. The conviction and sentence of 15 years in an education </w:t>
      </w:r>
      <w:proofErr w:type="spellStart"/>
      <w:r>
        <w:rPr>
          <w:rFonts w:ascii="Times New Roman" w:hAnsi="Times New Roman" w:cs="Times New Roman"/>
          <w:color w:val="000000"/>
        </w:rPr>
        <w:t>centre</w:t>
      </w:r>
      <w:proofErr w:type="spellEnd"/>
      <w:r>
        <w:rPr>
          <w:rFonts w:ascii="Times New Roman" w:hAnsi="Times New Roman" w:cs="Times New Roman"/>
          <w:color w:val="000000"/>
        </w:rPr>
        <w:t xml:space="preserve"> are set aside. The Appellant is</w:t>
      </w:r>
      <w:r w:rsidR="003C7A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set free forthwith unless he is being held for some other lawful cause.</w:t>
      </w:r>
    </w:p>
    <w:p w:rsidR="002476FF" w:rsidRDefault="002476FF" w:rsidP="00247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2476FF" w:rsidRDefault="002476FF" w:rsidP="00247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Patel</w:t>
      </w:r>
    </w:p>
    <w:p w:rsidR="002476FF" w:rsidRDefault="002476FF" w:rsidP="00247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575C55" w:rsidRDefault="002476FF" w:rsidP="002476FF">
      <w:proofErr w:type="gramStart"/>
      <w:r>
        <w:rPr>
          <w:rFonts w:ascii="Times New Roman" w:hAnsi="Times New Roman" w:cs="Times New Roman"/>
          <w:i/>
          <w:iCs/>
          <w:color w:val="000000"/>
        </w:rPr>
        <w:t>A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Ameir</w:t>
      </w:r>
      <w:proofErr w:type="spellEnd"/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FF"/>
    <w:rsid w:val="002476FF"/>
    <w:rsid w:val="003C7A8F"/>
    <w:rsid w:val="0057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4A601-7E19-4D76-94D9-0DB478A1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2883</Words>
  <Characters>16439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2018-07-04T17:53:00Z</dcterms:created>
  <dcterms:modified xsi:type="dcterms:W3CDTF">2018-07-13T13:38:00Z</dcterms:modified>
</cp:coreProperties>
</file>