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Muite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February 2005</w:t>
      </w:r>
    </w:p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188/02</w:t>
      </w:r>
    </w:p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Enforcement of fundamental rights and freedoms – Amendment of pleadings –</w:t>
      </w:r>
    </w:p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envisaged under the Constitution.</w:t>
      </w:r>
    </w:p>
    <w:p w:rsidR="00BB6605" w:rsidRDefault="00B0281B" w:rsidP="00B028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B6605" w:rsidRDefault="00BB6605" w:rsidP="00B028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</w:t>
      </w:r>
      <w:r>
        <w:rPr>
          <w:rFonts w:ascii="Times New Roman" w:hAnsi="Times New Roman" w:cs="Times New Roman"/>
          <w:color w:val="000000"/>
        </w:rPr>
        <w:t>: The application by way of chamber summons dated 19 November 2004 seeks to amend an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originating motion in terms of the originating summons attached to the applicants affidavit. It is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by the applicants’ affidavit sworn on 19 November 2004.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application, by way of an originating motion, was filed 6 months after the publication of the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of Kenya (Protection of Fundamental Rights and Freedoms of the Individual) Practice and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 2000 Legal notice 133 of 2001. The applicant seeks to amend, in order to comply with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law. The amendment seeks to incorporate more orders but the grounds relied on are the same as in the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originating motion which is being amended. Under rule 11 of the Rules made under section 84(6) of the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application, under rule 5 and 9, must be by way of an originating summons. Rule 11 also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provides that, in respect of such an application, Order XXXVI of the Civil Procedure Rules shall apply as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far as is practicable.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opposed on the following grounds: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 has not properly invoked the jurisdiction of the court because originating motions are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contemplated by Order XXXVI, and the application to amend is based on Order XXXVI, rule 9 of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Civil Procedure Rules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 has failed to comply with rule 9 of the Rules made under section 84 rule 6 of the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and a new prayer to the effect that the applicant will not get a fair trial and that the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magistrate should be stopped from conducting the matter. Section 70 is being invoked and they have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chosen to specify section 71 as well and these had not been included in the originating motion. And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proposed amendments fatally affect the whole application and in a Constitutional application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has to be precise on the prayers and the provisions relied on.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Francis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Karani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Elijah v Chairman of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Kanu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High Court miscellaneous case number 235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2002, the court struck out an application brought contrary to the Rules and that this Court should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adopt the case.</w:t>
      </w:r>
      <w:r w:rsidR="00B028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Counsel for the applicant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  <w:r>
        <w:rPr>
          <w:rFonts w:ascii="Times New Roman" w:hAnsi="Times New Roman" w:cs="Times New Roman"/>
          <w:color w:val="000000"/>
        </w:rPr>
        <w:t xml:space="preserve">, in reply, pointed out to the court that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>) the applicants had not applied to amend as in this case and waited until the faulty application came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 for hearing when it was struck out. In this case, this Court’s jurisdiction to amend under Order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XXXVI, rule 9 has been invoked well before the hearing and that a party can amend pleadings any time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judgment under Order VI, rule 3 and 4 of the Civil Procedure Rules and under Order VI, rule 3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applies to civil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generally, amendments apply equally to originating summons, a petition and an originating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motion as it has effect in relation to a plaint.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ruling I have taken into consideration the arguments set out above.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Order XXXVI, rule 9 the court has a wide discretion to make any amendments necessary to make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summons accord with existing facts and to raise the matters in issue between the parties. I think the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has been given an unfettered discretion to allow amendments which will assist it, or the parties, to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ascertain the real issues between the parties. I have also taken into account the fact that the applicant has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retained the same grounds as in the originating motion and also took the trouble of instituting a separate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to amend before taking directions. Under Order VI, rule 4 an originating motion can be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amended as if it was a plaint. I see no big deal in substituting the word “summons” for “motion” and I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that no prejudice will be suffered, or is likely to be suffered, by the respondent since they have not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any affidavit in reply to that, although they had filed general grounds of objection which they did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pursue before this application.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Haulers Ltd t/a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Tausi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Travellers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case number 204 of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2003, this Court held that the right of access to the court under section 84 is a fundamental right. In the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decision, I also held that the only bar to the right is failure to comply with the rules or contravention of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fundamental principles of law. Our Constitution does assume the existence of fundamental principles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law and I would like to repeat and reinforce the same principles here. In the special circumstances of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case where amendments are allowed by virtue of the incorporation of the Civil </w:t>
      </w:r>
      <w:r>
        <w:rPr>
          <w:rFonts w:ascii="Times New Roman" w:hAnsi="Times New Roman" w:cs="Times New Roman"/>
          <w:color w:val="000000"/>
        </w:rPr>
        <w:lastRenderedPageBreak/>
        <w:t>Procedure Rules by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11 of the Constitution of Kenya (Protection of Fundamental Rights and Freedoms of the Individual)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and Procedure Rules 2001, I cannot fairly prevent a party from amending in order to comply, the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having come in advance of the hearing of the application.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an even more recent decision of this Court, in </w:t>
      </w:r>
      <w:r>
        <w:rPr>
          <w:rFonts w:ascii="Times New Roman" w:hAnsi="Times New Roman" w:cs="Times New Roman"/>
          <w:i/>
          <w:iCs/>
          <w:color w:val="000000"/>
        </w:rPr>
        <w:t>Booth Irrigation v Mombasa Water Products Ltd,</w:t>
      </w:r>
      <w:r w:rsidR="00B0281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Court miscellaneous case number 1052 of 2004, I held,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alia, </w:t>
      </w:r>
      <w:r>
        <w:rPr>
          <w:rFonts w:ascii="Times New Roman" w:hAnsi="Times New Roman" w:cs="Times New Roman"/>
          <w:color w:val="000000"/>
        </w:rPr>
        <w:t>that our Constitution does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assume the existence of fundamental principles of law and I went on to enumerate some of them and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a preliminary point which ignored a possible breach of a fundamental principle of law.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principle behind the Rules, made under section 84(6) of the Constitution, is to achieve the ends of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because justice is one of the objectives of our Constitution. Allowing an amendment which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ordinarily would be allowed under the Civil Procedure Act and Rules in order to have the matter fully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articulated and argued on merit, does in the opinion of this Court serve the ends of justice and therefore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objectives of the Constitution. I now wish to venture further and hold that our Constitution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does, indeed, assume the existence of the law of evidence and the rules of Civil Procedure insofar as it is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practicable in the circumstances of the cases which come before the court and in so far that the law and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are in conformity and do not violate any specific provisions of the Constitution.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above reasons, the application to amend is allowed as prayed.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Thrown away costs to be reserved this being a Constitutional matter. This Court shall </w:t>
      </w:r>
      <w:proofErr w:type="spellStart"/>
      <w:r>
        <w:rPr>
          <w:rFonts w:ascii="Times New Roman" w:hAnsi="Times New Roman" w:cs="Times New Roman"/>
          <w:color w:val="000000"/>
        </w:rPr>
        <w:t>endeavour</w:t>
      </w:r>
      <w:proofErr w:type="spellEnd"/>
      <w:r>
        <w:rPr>
          <w:rFonts w:ascii="Times New Roman" w:hAnsi="Times New Roman" w:cs="Times New Roman"/>
          <w:color w:val="000000"/>
        </w:rPr>
        <w:t xml:space="preserve"> to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ensure that the court’s power to award costs does not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make it difficult or restrain the right of access to the court by those who could have genuine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grievances to articulate.</w:t>
      </w:r>
      <w:r w:rsidR="00B028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</w:p>
    <w:p w:rsidR="00BB6605" w:rsidRDefault="00BB6605" w:rsidP="00BB6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BB6605" w:rsidP="00BB6605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05"/>
    <w:rsid w:val="00366D10"/>
    <w:rsid w:val="00B0281B"/>
    <w:rsid w:val="00BB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30AE3-593B-43B5-A728-DED08BF2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2018-07-04T19:51:00Z</dcterms:created>
  <dcterms:modified xsi:type="dcterms:W3CDTF">2018-07-13T13:40:00Z</dcterms:modified>
</cp:coreProperties>
</file>