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Muite v Attorney General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March 2006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188/02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Nyamu J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R Rogo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Principles in constitutional applications – Need for speedy and flexible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determination of the case – Whether </w:t>
      </w:r>
      <w:r>
        <w:rPr>
          <w:rFonts w:ascii="Times New Roman" w:hAnsi="Times New Roman" w:cs="Times New Roman"/>
          <w:color w:val="000000"/>
        </w:rPr>
        <w:t xml:space="preserve">viva voce </w:t>
      </w:r>
      <w:r>
        <w:rPr>
          <w:rFonts w:ascii="Times New Roman" w:hAnsi="Times New Roman" w:cs="Times New Roman"/>
          <w:i/>
          <w:iCs/>
          <w:color w:val="000000"/>
        </w:rPr>
        <w:t>evidence assists in this.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Constitutional law – Submission of evidence – Use of affidavit evidence as opposed to </w:t>
      </w:r>
      <w:r>
        <w:rPr>
          <w:rFonts w:ascii="Times New Roman" w:hAnsi="Times New Roman" w:cs="Times New Roman"/>
          <w:color w:val="000000"/>
        </w:rPr>
        <w:t>viva voce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evidence.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Practice and procedure – Whether </w:t>
      </w:r>
      <w:r>
        <w:rPr>
          <w:rFonts w:ascii="Times New Roman" w:hAnsi="Times New Roman" w:cs="Times New Roman"/>
          <w:color w:val="000000"/>
        </w:rPr>
        <w:t xml:space="preserve">viva voce </w:t>
      </w:r>
      <w:r>
        <w:rPr>
          <w:rFonts w:ascii="Times New Roman" w:hAnsi="Times New Roman" w:cs="Times New Roman"/>
          <w:i/>
          <w:iCs/>
          <w:color w:val="000000"/>
        </w:rPr>
        <w:t>evidence is contemplated by Order XXXVI.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42FBF" w:rsidRDefault="006E048B" w:rsidP="00442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filed a constitutional application. Later, he made another application seeking to be allowed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give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evidence. The respondent however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opposed the same on the grounds that Order XXXVI of the Civil Procedure Rules did not provide for the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giving of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 and that the applicant had also not laid a basis in order for the application to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granted.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dismissed.</w:t>
      </w:r>
      <w:r w:rsidR="00442FBF">
        <w:rPr>
          <w:rFonts w:ascii="Times New Roman" w:hAnsi="Times New Roman" w:cs="Times New Roman"/>
          <w:color w:val="000000"/>
        </w:rPr>
        <w:t xml:space="preserve"> </w:t>
      </w:r>
    </w:p>
    <w:p w:rsidR="00442FBF" w:rsidRDefault="00442FBF" w:rsidP="00442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E048B" w:rsidRDefault="006E048B" w:rsidP="00442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wording of Order XXXVI, rule 9 and 10 do not give room for giving of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evidence.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Rules emphasise that courts have power to order that evidence may be adduced by an order for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affidavits. A party may also be allowed to apply for particulars of the affidavits filed where an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has been made for them to stand as pleadings.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would not allow the applicant to adduce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 because the application was by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of Originating Summons and in fact, a collateral attack on the criminal proceedings in the lower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and the Constitutional Court must of necessity steer clear away from any temptation to deal with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detailed matters of fact which might have a bearing or influence the conduct of the criminal proceedings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lower court. A Constitutional Court must never descend into the arena of a lower court by allowing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giving of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 as this could give rise to possible prejudice.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objectives behind the enforcement of the fundamental rights and freedoms set out in Chapter 5 of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include unhindered accessibility to the court, speed and expedition in obtaining redress.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explains why the rules made under section 84(6) of the Constitution were specifically tailored to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advance these objectives by incorporating the provisions of Order XXXVI where practicable. Proof by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evidence is what was contemplated and is what can assist in meeting the above objectives. </w:t>
      </w:r>
      <w:r>
        <w:rPr>
          <w:rFonts w:ascii="Times New Roman" w:hAnsi="Times New Roman" w:cs="Times New Roman"/>
          <w:i/>
          <w:iCs/>
          <w:color w:val="000000"/>
        </w:rPr>
        <w:t>Sunip</w:t>
      </w:r>
      <w:r w:rsidR="00442FB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Mazudar v State of Madya Pradech </w:t>
      </w:r>
      <w:r>
        <w:rPr>
          <w:rFonts w:ascii="Times New Roman" w:hAnsi="Times New Roman" w:cs="Times New Roman"/>
          <w:color w:val="000000"/>
        </w:rPr>
        <w:t>[1994] Supp 2 Supreme Court case applied.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especially in constitutional matters needs to aim at achieving a fair but a speedy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the cases. This in turn calls for easy accesss to the court, relaxed requirements on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standing and speedy determination. </w:t>
      </w:r>
      <w:r>
        <w:rPr>
          <w:rFonts w:ascii="Times New Roman" w:hAnsi="Times New Roman" w:cs="Times New Roman"/>
          <w:i/>
          <w:iCs/>
          <w:color w:val="000000"/>
        </w:rPr>
        <w:t xml:space="preserve">Viva voce </w:t>
      </w:r>
      <w:r>
        <w:rPr>
          <w:rFonts w:ascii="Times New Roman" w:hAnsi="Times New Roman" w:cs="Times New Roman"/>
          <w:color w:val="000000"/>
        </w:rPr>
        <w:t>evidence would not be conducive to the above objectives</w:t>
      </w:r>
      <w:r w:rsidR="00442F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most cases. Affidavit evidence has served us well.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Jared Benson Kangwana v Attorney General </w:t>
      </w:r>
      <w:r>
        <w:rPr>
          <w:rFonts w:ascii="Times New Roman" w:hAnsi="Times New Roman" w:cs="Times New Roman"/>
          <w:color w:val="000000"/>
        </w:rPr>
        <w:t>[1995] LLR 4493 (HCK)</w:t>
      </w:r>
    </w:p>
    <w:p w:rsidR="006E048B" w:rsidRDefault="006E048B" w:rsidP="006E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Rashid Odhimbo Aloggoh and others v Haco Industries Limited </w:t>
      </w:r>
      <w:r>
        <w:rPr>
          <w:rFonts w:ascii="Times New Roman" w:hAnsi="Times New Roman" w:cs="Times New Roman"/>
          <w:color w:val="000000"/>
        </w:rPr>
        <w:t>civil appeal 110 of 2001 (UR)</w:t>
      </w:r>
    </w:p>
    <w:p w:rsidR="00AB7022" w:rsidRDefault="006E048B" w:rsidP="006E048B">
      <w:r>
        <w:rPr>
          <w:rFonts w:ascii="Times New Roman" w:hAnsi="Times New Roman" w:cs="Times New Roman"/>
          <w:i/>
          <w:iCs/>
          <w:color w:val="000000"/>
        </w:rPr>
        <w:t xml:space="preserve">Sunip Mazudar v State of Madya Pradech </w:t>
      </w:r>
      <w:r>
        <w:rPr>
          <w:rFonts w:ascii="Times New Roman" w:hAnsi="Times New Roman" w:cs="Times New Roman"/>
          <w:color w:val="000000"/>
        </w:rPr>
        <w:t xml:space="preserve">[1994] Supp 2 Supreme Court case 327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8B"/>
    <w:rsid w:val="00442FBF"/>
    <w:rsid w:val="006E048B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443E9-D697-4D0D-9633-450B914F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2018-07-05T06:45:00Z</dcterms:created>
  <dcterms:modified xsi:type="dcterms:W3CDTF">2018-07-13T13:40:00Z</dcterms:modified>
</cp:coreProperties>
</file>