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Muite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 General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March 2006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188/02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Principles in constitutional applications – Need for speedy and flexible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determination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case – Whether </w:t>
      </w:r>
      <w:r>
        <w:rPr>
          <w:rFonts w:ascii="Times New Roman" w:hAnsi="Times New Roman" w:cs="Times New Roman"/>
          <w:color w:val="000000"/>
        </w:rPr>
        <w:t xml:space="preserve">viva voce </w:t>
      </w:r>
      <w:r>
        <w:rPr>
          <w:rFonts w:ascii="Times New Roman" w:hAnsi="Times New Roman" w:cs="Times New Roman"/>
          <w:i/>
          <w:iCs/>
          <w:color w:val="000000"/>
        </w:rPr>
        <w:t>evidence assists in this.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Constitutional law – Submission of evidence – Use of affidavit evidence as opposed to </w:t>
      </w:r>
      <w:r>
        <w:rPr>
          <w:rFonts w:ascii="Times New Roman" w:hAnsi="Times New Roman" w:cs="Times New Roman"/>
          <w:color w:val="000000"/>
        </w:rPr>
        <w:t>viva voce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Practice and procedure – Whether </w:t>
      </w:r>
      <w:r>
        <w:rPr>
          <w:rFonts w:ascii="Times New Roman" w:hAnsi="Times New Roman" w:cs="Times New Roman"/>
          <w:color w:val="000000"/>
        </w:rPr>
        <w:t xml:space="preserve">viva voce </w:t>
      </w:r>
      <w:r>
        <w:rPr>
          <w:rFonts w:ascii="Times New Roman" w:hAnsi="Times New Roman" w:cs="Times New Roman"/>
          <w:i/>
          <w:iCs/>
          <w:color w:val="000000"/>
        </w:rPr>
        <w:t>evidence is contemplated by Order XXXVI.</w:t>
      </w:r>
    </w:p>
    <w:p w:rsidR="00832B31" w:rsidRDefault="00C9161D" w:rsidP="00C9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832B31" w:rsidRDefault="00832B31" w:rsidP="00C916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applicant has filed an amended Originating Summons as required under the applicable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as per LN 131 of 2001. He has also invoked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XXXVI, rule 8A and 9 of the Civil Procedure Rules and has as a result applied for directions. At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time the application was filed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19 November 2004 the respondent had not entered appearance and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not filed any affidavit in reply. The respondent has since filed a replying affidavit.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thrust of the applicant’s application as per the submissions by his Counsel is to be allowed to give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at the hearing of the Originating Summons. No mention of this has however been set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in the application or the affidavit in support: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reasons given is that the parties have not agreed on the correctness or sufficiency of the facts as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forth in the summons and affidavit. The applicant relies on written submissions filed on 13 April 2005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supplementary submissions dated 4 July 2005. Both sets of submissions have attached highlighted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 the respondent relies on the written submissions filed on 11 July 2005.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were given ample opportunity to highlight the written submissions.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counsel for the applicant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relied on Court of Appeal decision of </w:t>
      </w:r>
      <w:r>
        <w:rPr>
          <w:rFonts w:ascii="Times New Roman" w:hAnsi="Times New Roman" w:cs="Times New Roman"/>
          <w:i/>
          <w:iCs/>
          <w:color w:val="000000"/>
        </w:rPr>
        <w:t>Rashid</w:t>
      </w:r>
      <w:r w:rsidR="00C9161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Odhimbo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Aloggoh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Limited </w:t>
      </w:r>
      <w:r>
        <w:rPr>
          <w:rFonts w:ascii="Times New Roman" w:hAnsi="Times New Roman" w:cs="Times New Roman"/>
          <w:color w:val="000000"/>
        </w:rPr>
        <w:t>civil appeal 110 of 2001 (UR) at 9 where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states: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“What should the Constitutional Court have done? In our respectful view, it should first have considered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or not the allegations made by the appellants were true. It appears that the parties were prepared to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the factual issues which they raised to be determined on affidavit evidence. We do not know how the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Court would have gone about this, but since this was an Originating Summons, some assistance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have been derived from the provisions of Order XXXVI, rule 10(1) of the Civil Procedure Rules which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allow the affidavits to be treated as pleadings and thereafter the parties are allowed to give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viva voce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which the court would be able to make up its mind on which side of the divide the truth lay. The burden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course, would have been for the appellant to show the court that the facts on which they based their claim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true. If the court had found that the facts as put forward by the appellants were not true then that would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the end of the matter. Even on matters touching on the Constitution the facts on which the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contravention is based must either be proved or admitted or agreed.”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Reliance has also been placed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Jared Benson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Kangwana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General </w:t>
      </w:r>
      <w:r>
        <w:rPr>
          <w:rFonts w:ascii="Times New Roman" w:hAnsi="Times New Roman" w:cs="Times New Roman"/>
          <w:color w:val="000000"/>
        </w:rPr>
        <w:t>[1995] LLR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4493 (HCK) where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Khamoni</w:t>
      </w:r>
      <w:proofErr w:type="spellEnd"/>
      <w:r>
        <w:rPr>
          <w:rFonts w:ascii="Times New Roman" w:hAnsi="Times New Roman" w:cs="Times New Roman"/>
          <w:color w:val="000000"/>
        </w:rPr>
        <w:t xml:space="preserve"> is said to have admitted oral evidence in judicial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proceedings.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 counsel for the respondent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Dorcus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strongly argued that Order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XXXVI of the Civil Procedure Rules does not provide for the giving of evidence </w:t>
      </w:r>
      <w:r>
        <w:rPr>
          <w:rFonts w:ascii="Times New Roman" w:hAnsi="Times New Roman" w:cs="Times New Roman"/>
          <w:i/>
          <w:iCs/>
          <w:color w:val="000000"/>
        </w:rPr>
        <w:t>viva voce</w:t>
      </w:r>
      <w:r>
        <w:rPr>
          <w:rFonts w:ascii="Times New Roman" w:hAnsi="Times New Roman" w:cs="Times New Roman"/>
          <w:color w:val="000000"/>
        </w:rPr>
        <w:t>. She has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argued that the applicant has not made allegations within his knowledge so as to lay the basis for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nor has he shown the nature of the exhibits he wants to produce and further that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has not shown the reason why he has not produced them already since he has not been prevented from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 so. She has argued that the point concerning the effect of Order XXXVI, rule 10 was not directly in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in the Court of Appeal and the court could only have expressed itself obiter. If the court had been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the opportunity to consider the nature and effect of rule 10(1) of Order XXXVI it would have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a different phraseology “to express the nature, scope and effect of the Rule”.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given considerable weight to the arguments of counsel as outlined above.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concerning the scope of Order XXXVI has great merit. The wording of Order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XXXVI, rule 9 and 10 which I will set out herein in </w:t>
      </w:r>
      <w:proofErr w:type="spellStart"/>
      <w:r>
        <w:rPr>
          <w:rFonts w:ascii="Times New Roman" w:hAnsi="Times New Roman" w:cs="Times New Roman"/>
          <w:color w:val="000000"/>
        </w:rPr>
        <w:t>extenso</w:t>
      </w:r>
      <w:proofErr w:type="spellEnd"/>
      <w:r>
        <w:rPr>
          <w:rFonts w:ascii="Times New Roman" w:hAnsi="Times New Roman" w:cs="Times New Roman"/>
          <w:color w:val="000000"/>
        </w:rPr>
        <w:t xml:space="preserve"> give no room for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9 reads: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the hearing of the summons, if the parties do not agree to the correctness and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sufficiency of the facts set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forth in the summons and affidavit, the judge may order the summons to be supported by such further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as he may deem necessary, and may give such directions as he may think just for the trial of any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issues arising thereupon, and may make any amendments necessary to make the summons accord with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existing facts and to raise the matters in issue between the parties.”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10(1) reads: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“Where, on an originating summons under this Order, it appears to the court at any stage of the proceedings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proceedings should for any reason be continued as if the cause had been begun by filing a plaint, it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order the proceedings to continue as if the cause had been so begun and may, in particular, order that any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affidavits filed shall stand as pleadings, with or without liberty to any of the parties to add to, or to apply for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particulars of, those affidavits.”</w:t>
      </w:r>
      <w:r w:rsidR="00C916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10(2) is not relevant, the summons for directions Order LI having been repealed.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clear to the court that what the two rules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to the court’s power to order that evidence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adduced by an order for further affidavits. A party may also be allowed to apply for particulars of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affidavits filed where an order has been made for them to stand as pleadings.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reason why the court would not allow the applicant to adduce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is that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before the court is by way of an Originating Summons and is in fact a collateral attack on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proceedings in the lower court and the Constitutional Court must of necessity steer clear of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temptation to deal with detailed matters of fact which might have a bearing or influence on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of the criminal proceedings in the lower court. A Constitutional Court must never descend into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arena of the lower court by allowing the giving of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evidence; this would be a clear invitation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just so descend, thereby giving rise to possible prejudice. The applicant has not demonstrated to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that his alleged violations of section 70 and section 77 of the Constitution cannot be proved by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evidence as contemplated in Order XXXVI. He has also not applied to be allowed to give </w:t>
      </w:r>
      <w:r>
        <w:rPr>
          <w:rFonts w:ascii="Times New Roman" w:hAnsi="Times New Roman" w:cs="Times New Roman"/>
          <w:i/>
          <w:iCs/>
          <w:color w:val="000000"/>
        </w:rPr>
        <w:t>viva</w:t>
      </w:r>
      <w:r w:rsidR="00C9161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voce </w:t>
      </w:r>
      <w:r>
        <w:rPr>
          <w:rFonts w:ascii="Times New Roman" w:hAnsi="Times New Roman" w:cs="Times New Roman"/>
          <w:color w:val="000000"/>
        </w:rPr>
        <w:t>evidence in his application for directions nor has he applied to have the affidavits regarded as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third reason why the request to give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must fail is that it is the court’s view that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 of the Constitution on fundamental rights are clear that the objectives behind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enforcement of the fundamental rights and freedoms set out in Chapter 5 of the Constitution include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unhindered accessibility to the court, speed and expedition in obtaining redress. This explains why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made under section 84(6) of the Constitution were specifically tailored to advance the objectives by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incorporating the provisions of Order XXXVI where practicable. Proof by way of affidavit evidence is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contemplated and is what can assist in meeting the above objectives. This explains why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rules entitled “The Constitution of Kenya (Supervisory Jurisdiction and Protection of Fundamental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and Freedoms of the Individual) High Court Practice and Procedure Rules 2006” clearly stipulate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petition under section 84 must be supported by an affidavit and any supporting evidence.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still on the wider objectives of easy access to justice in constitutional matters, it may be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to share the Indian experience on this although we have not yet gone the Indian Supreme Court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– they appear to have gone to the extreme right of the pendulum in this (and for good reasons).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Sunip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Mazudar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State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Pradech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[1994] </w:t>
      </w:r>
      <w:proofErr w:type="spellStart"/>
      <w:r>
        <w:rPr>
          <w:rFonts w:ascii="Times New Roman" w:hAnsi="Times New Roman" w:cs="Times New Roman"/>
          <w:color w:val="000000"/>
        </w:rPr>
        <w:t>Supp</w:t>
      </w:r>
      <w:proofErr w:type="spellEnd"/>
      <w:r>
        <w:rPr>
          <w:rFonts w:ascii="Times New Roman" w:hAnsi="Times New Roman" w:cs="Times New Roman"/>
          <w:color w:val="000000"/>
        </w:rPr>
        <w:t xml:space="preserve"> 2 Supreme Court case 327 the Court gave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on the basis of a letter addressed to the Chief Justice by a journalist. The journalist alleged in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 that the safety precautions in the Indian Army’s communication test firing range in </w:t>
      </w:r>
      <w:proofErr w:type="spellStart"/>
      <w:r>
        <w:rPr>
          <w:rFonts w:ascii="Times New Roman" w:hAnsi="Times New Roman" w:cs="Times New Roman"/>
          <w:color w:val="000000"/>
        </w:rPr>
        <w:t>Madya</w:t>
      </w:r>
      <w:proofErr w:type="spellEnd"/>
      <w:r>
        <w:rPr>
          <w:rFonts w:ascii="Times New Roman" w:hAnsi="Times New Roman" w:cs="Times New Roman"/>
          <w:color w:val="000000"/>
        </w:rPr>
        <w:t xml:space="preserve"> Pradesh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inadequate with the result that villagers in the vicinity who tended to stray into the range were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killed or injured. After hearing the respondents the court gave an order compelling the state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to take adequate precautions. In a similar environmental matter which touched on the right to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divert a river and the application of the doctrine of public trust the Supreme Court was able to act on a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 item in a newspaper. At the moment this Court is not advocating the same measures to achieve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access to this Court, in view of the rules made under our Constitution – but the two cases do demonstrate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need for the court especially in constitutional matters to aim at achieving a fair but a speedy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cases. This in turn calls for easy access to the court, relaxed requirements on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standing and speedy determination.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would not be conducive to the above objectives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most cases. Affidavit evidence has served us well so far. In constitutional matters I see no good reason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depart from its use and none has been demonstrated in this case. Even where affidavits provide the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mode of proof the court does come to a determination on the basis of the affidavits and should problems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veracity arise cross examination could be allowed.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therefore disallow the direction for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on the grounds set out above.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no such prayer has been made in the application itself and I am not inclined to grant that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has not been sought in the </w:t>
      </w:r>
      <w:r>
        <w:rPr>
          <w:rFonts w:ascii="Times New Roman" w:hAnsi="Times New Roman" w:cs="Times New Roman"/>
          <w:color w:val="000000"/>
        </w:rPr>
        <w:lastRenderedPageBreak/>
        <w:t>application.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 the direction for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is refused on the above grounds. Directions shall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issue in the following terms: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Hearing to proceed on the basis of affidavit evidence.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Applicant at liberty to file a further affidavit within the next 10 days.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Upon service of the further affidavit the respondent and the Interested Party at liberty to file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affidavits within 10 days.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After the 20 days stipulated in directions 2 and 3 above all parties to file and exchange written</w:t>
      </w:r>
      <w:r w:rsidR="00C916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with lists of authorities (if any) dully paginated and highlighted within 10 days.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Matter to be mentioned for compliance and allocation of a hearing date on 7 May 2006 at 9am.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so ordered.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</w:p>
    <w:p w:rsidR="00832B31" w:rsidRDefault="00832B31" w:rsidP="0083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832B31" w:rsidP="00832B31"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Dorcus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31"/>
    <w:rsid w:val="00832B31"/>
    <w:rsid w:val="00AB7022"/>
    <w:rsid w:val="00C9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A3AC7-2383-47E0-AF54-546B66D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2018-07-05T06:45:00Z</dcterms:created>
  <dcterms:modified xsi:type="dcterms:W3CDTF">2018-07-13T13:42:00Z</dcterms:modified>
</cp:coreProperties>
</file>