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Mukembe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August 1973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25/1973 (37/74)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Hire-Purchase – Agreement – Sale of vehicle with payment by instalments – Not a hire-purchase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agreement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2007B" w:rsidRDefault="0044613E" w:rsidP="004461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2007B" w:rsidRDefault="0002007B" w:rsidP="00446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Nyamuchoncho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appellant was charged with three counts of theft contrary to ss. 252 and 255A of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 and was convicted on three counts and sentenced to two years’, and nine months’ and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nine months’ imprisonment respectively concurrent sentence. He appeals against both the conviction and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 on six grounds set out in his Memorandum of Appeal. It is unnecessary for me to go into the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facts; they are well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in the judgment of the magistrate.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as found by the trial magistrate are: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car was sold to the appellant under a hire-purchase agreement;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when the alleged sale took place the appellant had no legal ownership of the car, and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false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pretences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appellant induced P.W.2 and P.W.3 to part with the money.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has attacked this finding. In one of his grounds of appeal, he says, “the trial magistrate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law and facts to have held that I, the appellant, stole motor vehicle UUH 708 whereas the car in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 was sold to me by </w:t>
      </w:r>
      <w:proofErr w:type="spellStart"/>
      <w:r>
        <w:rPr>
          <w:rFonts w:ascii="Times New Roman" w:hAnsi="Times New Roman" w:cs="Times New Roman"/>
          <w:color w:val="000000"/>
        </w:rPr>
        <w:t>Sowedi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Katerega</w:t>
      </w:r>
      <w:proofErr w:type="spellEnd"/>
      <w:r>
        <w:rPr>
          <w:rFonts w:ascii="Times New Roman" w:hAnsi="Times New Roman" w:cs="Times New Roman"/>
          <w:color w:val="000000"/>
        </w:rPr>
        <w:t>, (P.W.1) who also accepted in the court of law to have sold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car to me.”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never disputed at the trial that P.W.1 did not sell the car to the appellant. The dispute was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or not P.W.1 sold the car to the appellant under hire-purchase terms. The trial magistrate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the fact that the agreement is a hire-purchase agreement. If the agreement is construed to be a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hire-purchase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agreement, the appeal must be dismissed, otherwise the appeal should succeed. The agreement produced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court of trial reads: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Kilyowa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Gomb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MTV.,</w:t>
      </w:r>
      <w:proofErr w:type="gramEnd"/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Nyenga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Kyaggwe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County,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14th August, 1972.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Sowedi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Katurega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have sold my motor car a Peugeot 403 Registration No. UUH 708 to Mr. James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Mukembo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five thousand (5,000/-) shillings out of which he had paid two thousand and two hundred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(2,200/-). The balance of two thousand eight hundred shillings (2,800/-) will be paid at monthly instalments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under: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30/9/72 he will pay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1,000/-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30/10/72 he will pay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1,000/-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30/11/72 he will pay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800/-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Sowedi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Katerega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 seller.</w:t>
      </w:r>
    </w:p>
    <w:p w:rsidR="0002007B" w:rsidRDefault="0002007B" w:rsidP="00446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this agreement which the court accepted as a hire-purchase agreement. Mr. </w:t>
      </w:r>
      <w:proofErr w:type="spellStart"/>
      <w:r>
        <w:rPr>
          <w:rFonts w:ascii="Times New Roman" w:hAnsi="Times New Roman" w:cs="Times New Roman"/>
          <w:color w:val="000000"/>
        </w:rPr>
        <w:t>Lulume</w:t>
      </w:r>
      <w:proofErr w:type="spellEnd"/>
      <w:r>
        <w:rPr>
          <w:rFonts w:ascii="Times New Roman" w:hAnsi="Times New Roman" w:cs="Times New Roman"/>
          <w:color w:val="000000"/>
        </w:rPr>
        <w:t>, for the State,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contends that it is a hire-purchase agreement by virtue of ss. 5 and 19 of the Sale of Goods Act (Cap. 79),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s. 50 of the Traffic and Road Safety Act 1970. That this agreement was intended to be a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hire-purchase agreement is confirmed by the evidence of P.W.1 who says in cross-examination at p. 4 of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“I took the car on the 7/10/72. I warned you that I would seize the car if you did not pay.” I do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see how ss. 5 and 19 of the Sale of Goods Act can help in interpreting the agreement. S. 50 of the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Traffic and Road Safety Act 1970 has no relevance either to this case. If anything it confirms that a motor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can be sold without giving the registration card thereof to the buyer as it happened in this case.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hire-purchase agreement is defined in Vol. 19, p. 510, para. 823 of Halsbury’s Laws of England,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3rd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 xml:space="preserve">. This statement of law was adopted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Bogha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Parekh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Fakar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Mahomed </w:t>
      </w:r>
      <w:r>
        <w:rPr>
          <w:rFonts w:ascii="Times New Roman" w:hAnsi="Times New Roman" w:cs="Times New Roman"/>
          <w:color w:val="000000"/>
        </w:rPr>
        <w:t>(1920 – 1929)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 U.L.R. 224. The judge said: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hire-purchase agreement is one by which goods are hired and which contains an option for the hirer by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payment of all the instalments of the hire to make himself a purchaser. There must be a free option for him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either to purchase or return the goods. If he is bound in all events to pay all the instalments then the agreement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will be a sale out and out, not a hire-purchase agreement. The point of distinction is that in a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hire-purchase the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hirer has only qualified possession as defined in the agreement whereas in the second case the purchaser has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unqualified possession and can transfer a good title to a bona fide purchaser even when the ownership of the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goods has not passed to him.”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 judge was construing an agreement made between the defendant and the objector. That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which the objector alleged was a hire-purchase agreement which provided for a sale of the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lorry to the defendant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2,000/- and: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by clause (1) the price was to be paid by six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hawalas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by clause (2) the van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was to remain in the name of the objector till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hawalas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met;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clause (3) allowed the objector to retake the van on default of meeting any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hawalas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clause (4) if the van was seized it could be sold to pay the balance due to the objector;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80"/>
        </w:rPr>
        <w:t>Page 102 of [1974] 1 EA 100 (HCU)</w:t>
      </w:r>
      <w:r w:rsidR="0044613E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clause (5) provided that the defendant should not sell or pledge the lorry.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So, when the plaintiff got judgment against the defendant, he attached the van; the objector pleaded this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as a hire-purchase agreement. This contention was rejected. The court held that: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this was a sale out and out and not a hiring;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the lorry was liable to attachment for the debt of the hirer;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that the agreement was a bill of sale and void for want of registration.</w:t>
      </w:r>
      <w:r w:rsidR="004461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., Cr. App. 489/60 M.B. 25/61, the court considered a hire-purchase agreement which did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contain a provision giving an option to the buyer to purchase or return the goods after all instalments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paid and said despite this omission the agreement was still a hire-purchase agreement as under it, the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remained in government until the last payment was made.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Turning to the case before me, there is no provision in the agreement which purports to hire the motor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vehicle to the appellant. The agreement plainly says, “I, </w:t>
      </w:r>
      <w:proofErr w:type="spellStart"/>
      <w:r>
        <w:rPr>
          <w:rFonts w:ascii="Times New Roman" w:hAnsi="Times New Roman" w:cs="Times New Roman"/>
          <w:color w:val="000000"/>
        </w:rPr>
        <w:t>Sowedi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Katerega</w:t>
      </w:r>
      <w:proofErr w:type="spellEnd"/>
      <w:r>
        <w:rPr>
          <w:rFonts w:ascii="Times New Roman" w:hAnsi="Times New Roman" w:cs="Times New Roman"/>
          <w:color w:val="000000"/>
        </w:rPr>
        <w:t>, have sold my motor-car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etc. . . .”; there is no provision granting an option for the appellant by payment of all the instalments to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himself a purchaser and above all there is no clause whereby the property remains in the seller until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the instalments have been paid. Applying the principles enunciated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Bhoga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Parekh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Fakar</w:t>
      </w:r>
      <w:proofErr w:type="spellEnd"/>
      <w:r w:rsidR="0044613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Mahomed</w:t>
      </w:r>
      <w:r>
        <w:rPr>
          <w:rFonts w:ascii="Times New Roman" w:hAnsi="Times New Roman" w:cs="Times New Roman"/>
          <w:color w:val="000000"/>
        </w:rPr>
        <w:t>, I hold that the transaction was a sale out and out. P.W.1 did not at the time he sold his car to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contemplate hire-purchase terms; he was driven to it by the inability of the appellant to keep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 with his instalments. The agreement he gave to the appellant is nothing but a sale agreement. The sale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transferred the property in the motor vehicle to the appellant, consequently he could not be found guilty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charges laid against him. Appeal allowed. Conviction and sentence set aside.</w:t>
      </w:r>
      <w:r w:rsidR="0044613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  <w:r w:rsidR="0044613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unrepresented.</w:t>
      </w:r>
    </w:p>
    <w:p w:rsidR="0002007B" w:rsidRDefault="0002007B" w:rsidP="0002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02007B" w:rsidP="0002007B">
      <w:r>
        <w:rPr>
          <w:rFonts w:ascii="Times New Roman" w:hAnsi="Times New Roman" w:cs="Times New Roman"/>
          <w:i/>
          <w:iCs/>
          <w:color w:val="000000"/>
        </w:rPr>
        <w:t xml:space="preserve">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Lulume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Attorney)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7B"/>
    <w:rsid w:val="0002007B"/>
    <w:rsid w:val="0044613E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962AB-FFD2-4997-8D7D-FA727ED0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2018-07-05T13:19:00Z</dcterms:created>
  <dcterms:modified xsi:type="dcterms:W3CDTF">2018-07-13T13:43:00Z</dcterms:modified>
</cp:coreProperties>
</file>