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Kituku</w:t>
      </w:r>
      <w:proofErr w:type="spellEnd"/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5 March 2004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168/03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– Time – Extension of time – Mistake of advocate – Whether mistake of advocate in applying for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leave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appeal against a decree to be borne by client – Decree – Whether leave to appeal required –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 4 – Court of Appeal Rules.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666A1" w:rsidRDefault="005F38EC" w:rsidP="00966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brought an application in the Court of Appeal under rule 4 of the Court’s Rules seeking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extension of time to file notice of appeal and record of appeal out of time. The Applicant’s advocates had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misapprehended the nature of the decree sought to be appealed and mistakenly thought that it was an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from which leave to appeal had to be sought from the High Court. The decree concerned a land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whereby judgment was given in favour of the Respondent with the Appellant’s counterclaim being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 The Appellant’s advocates proceeded to seek leave to appeal from the High Court which was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mistakenly granted on condition that the appeal be lodged within a specified time. On failure to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comply with the time specified, the Applicant made the present application.</w:t>
      </w:r>
      <w:r w:rsidR="009666A1">
        <w:rPr>
          <w:rFonts w:ascii="Times New Roman" w:hAnsi="Times New Roman" w:cs="Times New Roman"/>
          <w:color w:val="000000"/>
        </w:rPr>
        <w:t xml:space="preserve"> </w:t>
      </w:r>
    </w:p>
    <w:p w:rsidR="009666A1" w:rsidRDefault="009666A1" w:rsidP="00966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F38EC" w:rsidRDefault="005F38EC" w:rsidP="00966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decree does not require leave to appeal. The Applicant’s advocates made a mistake of law by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for leave to appeal at the High Court. This would not however shut out the Applicant. The time</w:t>
      </w:r>
      <w:r w:rsidR="009666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Applicant was to file her record of appeal would be extended by 21 days.</w:t>
      </w:r>
    </w:p>
    <w:p w:rsidR="005F38EC" w:rsidRDefault="005F38EC" w:rsidP="005F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allowed.</w:t>
      </w:r>
    </w:p>
    <w:p w:rsidR="00575C55" w:rsidRDefault="005F38EC" w:rsidP="005F38EC">
      <w:r>
        <w:rPr>
          <w:rFonts w:ascii="Times New Roman" w:hAnsi="Times New Roman" w:cs="Times New Roman"/>
          <w:b/>
          <w:bCs/>
          <w:color w:val="000000"/>
        </w:rPr>
        <w:t>No cases referred to in ruling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EC"/>
    <w:rsid w:val="00575C55"/>
    <w:rsid w:val="005F38EC"/>
    <w:rsid w:val="0096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EC482-497F-44E6-9A9A-8EEA3667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2018-07-04T17:57:00Z</dcterms:created>
  <dcterms:modified xsi:type="dcterms:W3CDTF">2018-07-13T13:46:00Z</dcterms:modified>
</cp:coreProperties>
</file>