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332" w:rsidRDefault="00541332" w:rsidP="00541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Mungai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541332" w:rsidRDefault="00541332" w:rsidP="00541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541332" w:rsidRDefault="00541332" w:rsidP="00541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November 2006</w:t>
      </w:r>
    </w:p>
    <w:p w:rsidR="00541332" w:rsidRDefault="00541332" w:rsidP="00541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157/03</w:t>
      </w:r>
    </w:p>
    <w:p w:rsidR="00541332" w:rsidRDefault="00541332" w:rsidP="00541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Waki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541332" w:rsidRDefault="00541332" w:rsidP="00541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41332" w:rsidRDefault="00541332" w:rsidP="00541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541332" w:rsidRDefault="00541332" w:rsidP="00541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Criminal procedure – Duty of court to conduct a </w:t>
      </w:r>
      <w:proofErr w:type="spellStart"/>
      <w:r>
        <w:rPr>
          <w:rFonts w:ascii="Times New Roman" w:hAnsi="Times New Roman" w:cs="Times New Roman"/>
          <w:color w:val="000000"/>
        </w:rPr>
        <w:t>voire</w:t>
      </w:r>
      <w:proofErr w:type="spellEnd"/>
      <w:r>
        <w:rPr>
          <w:rFonts w:ascii="Times New Roman" w:hAnsi="Times New Roman" w:cs="Times New Roman"/>
          <w:color w:val="000000"/>
        </w:rPr>
        <w:t xml:space="preserve"> dire </w:t>
      </w:r>
      <w:r>
        <w:rPr>
          <w:rFonts w:ascii="Times New Roman" w:hAnsi="Times New Roman" w:cs="Times New Roman"/>
          <w:i/>
          <w:iCs/>
          <w:color w:val="000000"/>
        </w:rPr>
        <w:t>examination before taking evidence of a</w:t>
      </w:r>
    </w:p>
    <w:p w:rsidR="00541332" w:rsidRDefault="00541332" w:rsidP="00541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child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Effect of failure to conduct a </w:t>
      </w:r>
      <w:proofErr w:type="spellStart"/>
      <w:r>
        <w:rPr>
          <w:rFonts w:ascii="Times New Roman" w:hAnsi="Times New Roman" w:cs="Times New Roman"/>
          <w:color w:val="000000"/>
        </w:rPr>
        <w:t>voire</w:t>
      </w:r>
      <w:proofErr w:type="spellEnd"/>
      <w:r>
        <w:rPr>
          <w:rFonts w:ascii="Times New Roman" w:hAnsi="Times New Roman" w:cs="Times New Roman"/>
          <w:color w:val="000000"/>
        </w:rPr>
        <w:t xml:space="preserve"> dire </w:t>
      </w:r>
      <w:r>
        <w:rPr>
          <w:rFonts w:ascii="Times New Roman" w:hAnsi="Times New Roman" w:cs="Times New Roman"/>
          <w:i/>
          <w:iCs/>
          <w:color w:val="000000"/>
        </w:rPr>
        <w:t>examination.</w:t>
      </w:r>
    </w:p>
    <w:p w:rsidR="00541332" w:rsidRDefault="00541332" w:rsidP="00541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procedure – Unqualified prosecutors – Effect of a trial that is partly conducted by a police</w:t>
      </w:r>
    </w:p>
    <w:p w:rsidR="00541332" w:rsidRDefault="00541332" w:rsidP="00541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constable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541332" w:rsidRDefault="00C8117B" w:rsidP="00C811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541332" w:rsidRDefault="00541332" w:rsidP="00C811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O’Kubasu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Waki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Deverell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 xml:space="preserve">The appellant herein, Joseph </w:t>
      </w:r>
      <w:proofErr w:type="spellStart"/>
      <w:r>
        <w:rPr>
          <w:rFonts w:ascii="Times New Roman" w:hAnsi="Times New Roman" w:cs="Times New Roman"/>
          <w:color w:val="000000"/>
        </w:rPr>
        <w:t>Karanja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Mungai</w:t>
      </w:r>
      <w:proofErr w:type="spellEnd"/>
      <w:r>
        <w:rPr>
          <w:rFonts w:ascii="Times New Roman" w:hAnsi="Times New Roman" w:cs="Times New Roman"/>
          <w:color w:val="000000"/>
        </w:rPr>
        <w:t>, was convicted by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Senior Resident Magistrate at Kikuyu (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AN </w:t>
      </w:r>
      <w:proofErr w:type="spellStart"/>
      <w:r>
        <w:rPr>
          <w:rFonts w:ascii="Times New Roman" w:hAnsi="Times New Roman" w:cs="Times New Roman"/>
          <w:color w:val="000000"/>
        </w:rPr>
        <w:t>Ongeri</w:t>
      </w:r>
      <w:proofErr w:type="spellEnd"/>
      <w:r>
        <w:rPr>
          <w:rFonts w:ascii="Times New Roman" w:hAnsi="Times New Roman" w:cs="Times New Roman"/>
          <w:color w:val="000000"/>
        </w:rPr>
        <w:t>) on three counts of attempted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defilement of a girl contrary to section 145(2) of the Penal Code. It was alleged that on 23 February 2001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</w:t>
      </w:r>
      <w:proofErr w:type="spellStart"/>
      <w:r>
        <w:rPr>
          <w:rFonts w:ascii="Times New Roman" w:hAnsi="Times New Roman" w:cs="Times New Roman"/>
          <w:color w:val="000000"/>
        </w:rPr>
        <w:t>Thogoto</w:t>
      </w:r>
      <w:proofErr w:type="spellEnd"/>
      <w:r>
        <w:rPr>
          <w:rFonts w:ascii="Times New Roman" w:hAnsi="Times New Roman" w:cs="Times New Roman"/>
          <w:color w:val="000000"/>
        </w:rPr>
        <w:t xml:space="preserve"> Village in </w:t>
      </w:r>
      <w:proofErr w:type="spellStart"/>
      <w:r>
        <w:rPr>
          <w:rFonts w:ascii="Times New Roman" w:hAnsi="Times New Roman" w:cs="Times New Roman"/>
          <w:color w:val="000000"/>
        </w:rPr>
        <w:t>Kiambu</w:t>
      </w:r>
      <w:proofErr w:type="spellEnd"/>
      <w:r>
        <w:rPr>
          <w:rFonts w:ascii="Times New Roman" w:hAnsi="Times New Roman" w:cs="Times New Roman"/>
          <w:color w:val="000000"/>
        </w:rPr>
        <w:t xml:space="preserve"> District within the Central Province, the appellant attempted to have carnal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knowledge of three young girls, namely Mercy </w:t>
      </w:r>
      <w:proofErr w:type="spellStart"/>
      <w:r>
        <w:rPr>
          <w:rFonts w:ascii="Times New Roman" w:hAnsi="Times New Roman" w:cs="Times New Roman"/>
          <w:color w:val="000000"/>
        </w:rPr>
        <w:t>Wanjiku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Kinyanjui</w:t>
      </w:r>
      <w:proofErr w:type="spellEnd"/>
      <w:r>
        <w:rPr>
          <w:rFonts w:ascii="Times New Roman" w:hAnsi="Times New Roman" w:cs="Times New Roman"/>
          <w:color w:val="000000"/>
        </w:rPr>
        <w:t xml:space="preserve">, Mary </w:t>
      </w:r>
      <w:proofErr w:type="spellStart"/>
      <w:r>
        <w:rPr>
          <w:rFonts w:ascii="Times New Roman" w:hAnsi="Times New Roman" w:cs="Times New Roman"/>
          <w:color w:val="000000"/>
        </w:rPr>
        <w:t>Wanjira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Wangari</w:t>
      </w:r>
      <w:proofErr w:type="spellEnd"/>
      <w:r>
        <w:rPr>
          <w:rFonts w:ascii="Times New Roman" w:hAnsi="Times New Roman" w:cs="Times New Roman"/>
          <w:color w:val="000000"/>
        </w:rPr>
        <w:t xml:space="preserve"> and Nelly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Mwende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Magua</w:t>
      </w:r>
      <w:proofErr w:type="spellEnd"/>
      <w:r>
        <w:rPr>
          <w:rFonts w:ascii="Times New Roman" w:hAnsi="Times New Roman" w:cs="Times New Roman"/>
          <w:color w:val="000000"/>
        </w:rPr>
        <w:t>. The three girls were all under the age of 14 years. Upon conviction, the appellant was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sentenced to seven (7) years imprisonment on each count and the sentences were ordered to run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concurrently. This was pursuant to the trial magistrate’s judgment delivered on 23 November 2001. The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appellant’s appeal to the Superior Court was dismissed by </w:t>
      </w:r>
      <w:proofErr w:type="spellStart"/>
      <w:r>
        <w:rPr>
          <w:rFonts w:ascii="Times New Roman" w:hAnsi="Times New Roman" w:cs="Times New Roman"/>
          <w:color w:val="000000"/>
        </w:rPr>
        <w:t>Tuiyot</w:t>
      </w:r>
      <w:proofErr w:type="spellEnd"/>
      <w:r>
        <w:rPr>
          <w:rFonts w:ascii="Times New Roman" w:hAnsi="Times New Roman" w:cs="Times New Roman"/>
          <w:color w:val="000000"/>
        </w:rPr>
        <w:t xml:space="preserve"> J in a judgment delivered on 3 October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2002.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record of the trial court, it is to be observed that the appellant’s convictions on the three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counts were based on the evidence of the three young girls. From the same record, it would appear that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learned trial Magistrate did not conduct 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voire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dire </w:t>
      </w:r>
      <w:r>
        <w:rPr>
          <w:rFonts w:ascii="Times New Roman" w:hAnsi="Times New Roman" w:cs="Times New Roman"/>
          <w:color w:val="000000"/>
        </w:rPr>
        <w:t>examination before receiving the evidence of the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three minors. The proper procedure to be followed when children are tendered as witnesses was set out in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decision of this Court in </w:t>
      </w:r>
      <w:r>
        <w:rPr>
          <w:rFonts w:ascii="Times New Roman" w:hAnsi="Times New Roman" w:cs="Times New Roman"/>
          <w:i/>
          <w:iCs/>
          <w:color w:val="000000"/>
        </w:rPr>
        <w:t xml:space="preserve">Johnson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Nyoike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Muiruri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>(1982-1988) 1 KAR 150 at 152 where Madan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JA (as he then was) said: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“We once again wish to draw the attention of our courts as to the proper procedure to be followed when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children are tendered as witnesses.”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Peter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Kirigi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Kiune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appeal number 77 of 1982 we said: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“Where, in any proceedings before any court, a child of tender years is called as a witness, the court is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required to form an opinion, on a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voire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dire </w:t>
      </w:r>
      <w:r>
        <w:rPr>
          <w:rFonts w:ascii="Times New Roman" w:hAnsi="Times New Roman" w:cs="Times New Roman"/>
          <w:color w:val="000000"/>
          <w:sz w:val="20"/>
          <w:szCs w:val="20"/>
        </w:rPr>
        <w:t>examination, whether the child understands the nature of an oath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which event his sworn evidence may be received. If the court is not so satisfied his unsworn evidence may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received if in the opinion of the court he is possessed of sufficient intelligence and understands the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duty of speaking the truth. In the latter event an accused person shall not be liable to be convicted on such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evidence unless it is corroborated by material evidence in support thereof implicating him (section 19, Oaths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Statutory Declarations Act, Chapter 20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Evidence Act (section 124, Chapter 80).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is important to set out the questions and answers when deciding whether a child of tender years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understands the nature of an oath so that the appellate court is able to decide whether this important matter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rightly decided, and not be forced to make assumptions.”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similar opinion was expressed by the Court of Appeal in England recently in </w:t>
      </w:r>
      <w:r>
        <w:rPr>
          <w:rFonts w:ascii="Times New Roman" w:hAnsi="Times New Roman" w:cs="Times New Roman"/>
          <w:i/>
          <w:iCs/>
          <w:color w:val="000000"/>
        </w:rPr>
        <w:t xml:space="preserve">R v Campbell </w:t>
      </w:r>
      <w:r>
        <w:rPr>
          <w:rFonts w:ascii="Times New Roman" w:hAnsi="Times New Roman" w:cs="Times New Roman"/>
          <w:color w:val="000000"/>
        </w:rPr>
        <w:t>Times, 10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December1982: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“If the girl (10 years) had given unsworn evidence then corroboration of those issues was an essential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requisite. If she gave sworn evidence there was no requirement that her evidence had to be corroborated but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jury had to be directed that it would not be safe to convict unless there was corroboration.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Dealing with the question of the girl taking the oath it should be borne in mind that where there was an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inquiry as to the understanding of a child witness of the nature and solemnity of an oath, the Court of Appeal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 v Lal Khan </w:t>
      </w:r>
      <w:r>
        <w:rPr>
          <w:rFonts w:ascii="Times New Roman" w:hAnsi="Times New Roman" w:cs="Times New Roman"/>
          <w:color w:val="000000"/>
          <w:sz w:val="20"/>
          <w:szCs w:val="20"/>
        </w:rPr>
        <w:t>[1981] 73 Cr App R 190) made it quite clear that the questions put to a child must appear on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shorthand note so that the course the procedure took in the court below could be seen. . .”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 Lord Justice Bridge said: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‘The important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consideration.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. .when a judge has to decide whether a child should properly be sworn, is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whether the child has sufficient appreciation of the solemnity of the occasion, and the added responsibility to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tell the truth, which is involved in an oath, over and above the duty to tell the truth which is an ordinary duty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normal social conduct.’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 were therefore two aspects when considering whether a child should properly be sworn: first that the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child had sufficient appreciation of the particular nature of the case and, second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realisation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taking the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oath did involve more than the ordinary duty of telling the truth in ordinary day-to-day life.”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was still the position when this Court decided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Kinyua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[2003] KLR 301 on 16 May 2003.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from 25 July 2003 however, Parliament made amendments to section 124 of the Evidence Act and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added a </w:t>
      </w:r>
      <w:r>
        <w:rPr>
          <w:rFonts w:ascii="Times New Roman" w:hAnsi="Times New Roman" w:cs="Times New Roman"/>
          <w:i/>
          <w:iCs/>
          <w:color w:val="000000"/>
        </w:rPr>
        <w:t>proviso</w:t>
      </w:r>
      <w:r>
        <w:rPr>
          <w:rFonts w:ascii="Times New Roman" w:hAnsi="Times New Roman" w:cs="Times New Roman"/>
          <w:color w:val="000000"/>
        </w:rPr>
        <w:t>, thus: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“Provided that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where in a criminal case involving a sexual offence the only evidence is that of a child of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tender years who is the alleged victim of the offence, the court shall receive the evidence of the child and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proceed to convict the accused person if, for reasons to be recorded in the proceedings, the court is satisfied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the child is telling the truth.”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 further amendment has since been made by Act 3 of 2006 which took effect on 21 July 2006 and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provides that section 124 be amended by deleting the words “a child of tender years who is” and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substituting therefor the words “alleged victim” and by deleting the word “child” wherever it appears and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substituting the words “alleged victim”. The impact of those amendments will however await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construction by the courts as the matter before us predates these amendments.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going into any other aspect of this appeal, we think that in view of the fact that the trial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failed to adopt the correct procedure as regards evidence of the three young girls, this Court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entitled to interfere with the conviction of the appellant. On that ground alone, this appeal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allowed.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But there is yet another aspect of this appeal. This relates to the trial being partly conducted by a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police constable.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magistrate’s record shows that the trial of the appellant commenced on 23 April 2001 when a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police constable, </w:t>
      </w:r>
      <w:proofErr w:type="spellStart"/>
      <w:r>
        <w:rPr>
          <w:rFonts w:ascii="Times New Roman" w:hAnsi="Times New Roman" w:cs="Times New Roman"/>
          <w:color w:val="000000"/>
        </w:rPr>
        <w:t>Muasya</w:t>
      </w:r>
      <w:proofErr w:type="spellEnd"/>
      <w:r>
        <w:rPr>
          <w:rFonts w:ascii="Times New Roman" w:hAnsi="Times New Roman" w:cs="Times New Roman"/>
          <w:color w:val="000000"/>
        </w:rPr>
        <w:t>, was the prosecutor. He called seven prosecution witnesses to testify. The trial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adjourned severally until 26 October 2001 when Inspector </w:t>
      </w:r>
      <w:proofErr w:type="spellStart"/>
      <w:r>
        <w:rPr>
          <w:rFonts w:ascii="Times New Roman" w:hAnsi="Times New Roman" w:cs="Times New Roman"/>
          <w:color w:val="000000"/>
        </w:rPr>
        <w:t>Obure</w:t>
      </w:r>
      <w:proofErr w:type="spellEnd"/>
      <w:r>
        <w:rPr>
          <w:rFonts w:ascii="Times New Roman" w:hAnsi="Times New Roman" w:cs="Times New Roman"/>
          <w:color w:val="000000"/>
        </w:rPr>
        <w:t xml:space="preserve"> appeared for the prosecution.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Inspector </w:t>
      </w:r>
      <w:proofErr w:type="spellStart"/>
      <w:r>
        <w:rPr>
          <w:rFonts w:ascii="Times New Roman" w:hAnsi="Times New Roman" w:cs="Times New Roman"/>
          <w:color w:val="000000"/>
        </w:rPr>
        <w:t>Obure</w:t>
      </w:r>
      <w:proofErr w:type="spellEnd"/>
      <w:r>
        <w:rPr>
          <w:rFonts w:ascii="Times New Roman" w:hAnsi="Times New Roman" w:cs="Times New Roman"/>
          <w:color w:val="000000"/>
        </w:rPr>
        <w:t xml:space="preserve"> called only one witness, Inspector Gladys </w:t>
      </w:r>
      <w:proofErr w:type="spellStart"/>
      <w:r>
        <w:rPr>
          <w:rFonts w:ascii="Times New Roman" w:hAnsi="Times New Roman" w:cs="Times New Roman"/>
          <w:color w:val="000000"/>
        </w:rPr>
        <w:t>Gituku</w:t>
      </w:r>
      <w:proofErr w:type="spellEnd"/>
      <w:r>
        <w:rPr>
          <w:rFonts w:ascii="Times New Roman" w:hAnsi="Times New Roman" w:cs="Times New Roman"/>
          <w:color w:val="000000"/>
        </w:rPr>
        <w:t xml:space="preserve"> (PW8) and the prosecution case was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closed. The appellant was then called to defend himself.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clear from the record that a large portion of the prosecution was conducted by a police constable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called a total of seven prosecution witnesses out of the eight witnesses called by the prosecution.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Inspector </w:t>
      </w:r>
      <w:proofErr w:type="spellStart"/>
      <w:r>
        <w:rPr>
          <w:rFonts w:ascii="Times New Roman" w:hAnsi="Times New Roman" w:cs="Times New Roman"/>
          <w:color w:val="000000"/>
        </w:rPr>
        <w:t>Obure</w:t>
      </w:r>
      <w:proofErr w:type="spellEnd"/>
      <w:r>
        <w:rPr>
          <w:rFonts w:ascii="Times New Roman" w:hAnsi="Times New Roman" w:cs="Times New Roman"/>
          <w:color w:val="000000"/>
        </w:rPr>
        <w:t xml:space="preserve"> came into the trial towards the end. On the authority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Elirema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Republic</w:t>
      </w:r>
      <w:r w:rsidR="00C8117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[2003] KLR 537, PC </w:t>
      </w:r>
      <w:proofErr w:type="spellStart"/>
      <w:r>
        <w:rPr>
          <w:rFonts w:ascii="Times New Roman" w:hAnsi="Times New Roman" w:cs="Times New Roman"/>
          <w:color w:val="000000"/>
        </w:rPr>
        <w:t>Muasya</w:t>
      </w:r>
      <w:proofErr w:type="spellEnd"/>
      <w:r>
        <w:rPr>
          <w:rFonts w:ascii="Times New Roman" w:hAnsi="Times New Roman" w:cs="Times New Roman"/>
          <w:color w:val="000000"/>
        </w:rPr>
        <w:t xml:space="preserve"> was not a qualified prosecutor.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Elirema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this Court stated,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“For one to be appointed as a public prosecutor by the Attorney-General one must be either an advocate of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High Court of Kenya or a police officer not below the rank of an assistant inspector of police. We suspect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rank of assistant inspector must have been replaced by that of an acting inspector but the Code has not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been amended to conform to the Police Act.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Kamotho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Gitau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were not qualified to act as prosecutors and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trial of the appellants in which they purported to act as public prosecutors must be declared a nullity.”</w:t>
      </w:r>
      <w:r w:rsidR="00C811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is, however, true that Inspector </w:t>
      </w:r>
      <w:proofErr w:type="spellStart"/>
      <w:r>
        <w:rPr>
          <w:rFonts w:ascii="Times New Roman" w:hAnsi="Times New Roman" w:cs="Times New Roman"/>
          <w:color w:val="000000"/>
        </w:rPr>
        <w:t>Obure</w:t>
      </w:r>
      <w:proofErr w:type="spellEnd"/>
      <w:r>
        <w:rPr>
          <w:rFonts w:ascii="Times New Roman" w:hAnsi="Times New Roman" w:cs="Times New Roman"/>
          <w:color w:val="000000"/>
        </w:rPr>
        <w:t xml:space="preserve"> also conducted part of the prosecution. But if a police constable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was unqualified to conduct prosecution conducted part of the prosecution, we cannot separate the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part conducted by Inspector </w:t>
      </w:r>
      <w:proofErr w:type="spellStart"/>
      <w:r>
        <w:rPr>
          <w:rFonts w:ascii="Times New Roman" w:hAnsi="Times New Roman" w:cs="Times New Roman"/>
          <w:color w:val="000000"/>
        </w:rPr>
        <w:t>Obure</w:t>
      </w:r>
      <w:proofErr w:type="spellEnd"/>
      <w:r>
        <w:rPr>
          <w:rFonts w:ascii="Times New Roman" w:hAnsi="Times New Roman" w:cs="Times New Roman"/>
          <w:color w:val="000000"/>
        </w:rPr>
        <w:t xml:space="preserve"> from that conducted by police constable </w:t>
      </w:r>
      <w:proofErr w:type="spellStart"/>
      <w:r>
        <w:rPr>
          <w:rFonts w:ascii="Times New Roman" w:hAnsi="Times New Roman" w:cs="Times New Roman"/>
          <w:color w:val="000000"/>
        </w:rPr>
        <w:t>Muasya</w:t>
      </w:r>
      <w:proofErr w:type="spellEnd"/>
      <w:r>
        <w:rPr>
          <w:rFonts w:ascii="Times New Roman" w:hAnsi="Times New Roman" w:cs="Times New Roman"/>
          <w:color w:val="000000"/>
        </w:rPr>
        <w:t>. There was only one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and if any part of it was materially defective, the whole trial must be invalidated.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view of the foregoing, the appellant’s trial in which PC </w:t>
      </w:r>
      <w:proofErr w:type="spellStart"/>
      <w:r>
        <w:rPr>
          <w:rFonts w:ascii="Times New Roman" w:hAnsi="Times New Roman" w:cs="Times New Roman"/>
          <w:color w:val="000000"/>
        </w:rPr>
        <w:t>Muasya</w:t>
      </w:r>
      <w:proofErr w:type="spellEnd"/>
      <w:r>
        <w:rPr>
          <w:rFonts w:ascii="Times New Roman" w:hAnsi="Times New Roman" w:cs="Times New Roman"/>
          <w:color w:val="000000"/>
        </w:rPr>
        <w:t xml:space="preserve"> purported to act as a prosecutor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be declared a nullity. We now do so with the result that all the convictions recorded against the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must be and are hereby quashed and the sentences are set aside.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While conceding that the appellant’s trial was partly conducted by a police constable hence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unqualified person contrary to section 85 of the Criminal Procedure Code,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Kaigai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asked us to order a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retrial.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already stated in this judgment, the appellant was convicted and sentenced to seven years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imprisonment on each count on 23 November 2001. By the time this appeal came up for hearing before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 on 9 October 2006 the appellant had already completed his prison term. Indeed the appellant appeared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person to argue his appeal. In view of the background of this matter and especially the fact that the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has served his term, we would not accede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Kaigai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request that a retrial be ordered.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Taking all these matters into consideration, we do not think that it would be in the interest of justice to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subject the appellant to a fresh trial. Accordingly, we refuse to order a retrial. The appellant shall</w:t>
      </w:r>
      <w:r w:rsidR="00C8117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continue to enjoy his liberty as he is no longer in prison. These shall be our orders.</w:t>
      </w:r>
    </w:p>
    <w:p w:rsidR="00541332" w:rsidRDefault="00541332" w:rsidP="00541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541332" w:rsidRDefault="00541332" w:rsidP="00541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541332" w:rsidRDefault="00541332" w:rsidP="00541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541332" w:rsidP="00541332"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Kaigai</w:t>
      </w:r>
      <w:proofErr w:type="spellEnd"/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332"/>
    <w:rsid w:val="00541332"/>
    <w:rsid w:val="00AB7022"/>
    <w:rsid w:val="00C8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93D74-2E32-4539-B607-0DAFFFA5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2018-07-05T06:47:00Z</dcterms:created>
  <dcterms:modified xsi:type="dcterms:W3CDTF">2018-07-13T13:50:00Z</dcterms:modified>
</cp:coreProperties>
</file>