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Murage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184/04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Plea – Taking of plea – Failure by trial court to take plea from accused –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failure rendered trial a nullity – Sections 207(1) and 382 – Criminal Procedure Code.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Identification – Dock identification – Identification parade a prerequisite for dock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identification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have any evidentiary value – Whether the appellants had been satisfactorily identified.</w:t>
      </w:r>
    </w:p>
    <w:p w:rsidR="000D0711" w:rsidRDefault="00A956A0" w:rsidP="00A956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D0711" w:rsidRDefault="000D0711" w:rsidP="00A956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David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Murage</w:t>
      </w:r>
      <w:proofErr w:type="spellEnd"/>
      <w:r>
        <w:rPr>
          <w:rFonts w:ascii="Times New Roman" w:hAnsi="Times New Roman" w:cs="Times New Roman"/>
          <w:color w:val="000000"/>
        </w:rPr>
        <w:t xml:space="preserve"> and Anthony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Karegi</w:t>
      </w:r>
      <w:proofErr w:type="spellEnd"/>
      <w:r>
        <w:rPr>
          <w:rFonts w:ascii="Times New Roman" w:hAnsi="Times New Roman" w:cs="Times New Roman"/>
          <w:color w:val="000000"/>
        </w:rPr>
        <w:t>, the appellants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after a lengthy trial spanning a period of about a year convicted of robbery with violence contrary to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296(2) of the Penal Code and sentenced to death. Their first appeals to the High Court of Kenya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Muga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Apondi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Kimaru</w:t>
      </w:r>
      <w:proofErr w:type="spellEnd"/>
      <w:r>
        <w:rPr>
          <w:rFonts w:ascii="Times New Roman" w:hAnsi="Times New Roman" w:cs="Times New Roman"/>
          <w:color w:val="000000"/>
        </w:rPr>
        <w:t xml:space="preserve"> JJ) were dismissed on 5 August 2004 and hence this second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particulars of the charge preferred against the two appellants read as follows: On the 6 November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1998 at Veterinary cash office,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Township in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of the Rift Valley Province, jointly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others not before the court being armed with dangerous weapons namely two pistols, robbed Moses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Mugambi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Kanjagua</w:t>
      </w:r>
      <w:proofErr w:type="spellEnd"/>
      <w:r>
        <w:rPr>
          <w:rFonts w:ascii="Times New Roman" w:hAnsi="Times New Roman" w:cs="Times New Roman"/>
          <w:color w:val="000000"/>
        </w:rPr>
        <w:t xml:space="preserve"> of cash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284 225 and at or immediately before or immediately after the time of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robbery used personal violence to the said Moses </w:t>
      </w:r>
      <w:proofErr w:type="spellStart"/>
      <w:r>
        <w:rPr>
          <w:rFonts w:ascii="Times New Roman" w:hAnsi="Times New Roman" w:cs="Times New Roman"/>
          <w:color w:val="000000"/>
        </w:rPr>
        <w:t>Mogambi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Kanjagua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about 3:30pm on 6 November 1998 the staff of the District Veterinary Department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were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work in their office. There were, among others,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Ambaka</w:t>
      </w:r>
      <w:proofErr w:type="spellEnd"/>
      <w:r>
        <w:rPr>
          <w:rFonts w:ascii="Times New Roman" w:hAnsi="Times New Roman" w:cs="Times New Roman"/>
          <w:color w:val="000000"/>
        </w:rPr>
        <w:t xml:space="preserve"> (PW2), Moses </w:t>
      </w:r>
      <w:proofErr w:type="spellStart"/>
      <w:r>
        <w:rPr>
          <w:rFonts w:ascii="Times New Roman" w:hAnsi="Times New Roman" w:cs="Times New Roman"/>
          <w:color w:val="000000"/>
        </w:rPr>
        <w:t>Kanjagua</w:t>
      </w:r>
      <w:proofErr w:type="spellEnd"/>
      <w:r>
        <w:rPr>
          <w:rFonts w:ascii="Times New Roman" w:hAnsi="Times New Roman" w:cs="Times New Roman"/>
          <w:color w:val="000000"/>
        </w:rPr>
        <w:t xml:space="preserve"> (PW1) the cashier and Purity </w:t>
      </w:r>
      <w:proofErr w:type="spellStart"/>
      <w:r>
        <w:rPr>
          <w:rFonts w:ascii="Times New Roman" w:hAnsi="Times New Roman" w:cs="Times New Roman"/>
          <w:color w:val="000000"/>
        </w:rPr>
        <w:t>Mutuku</w:t>
      </w:r>
      <w:proofErr w:type="spellEnd"/>
      <w:r>
        <w:rPr>
          <w:rFonts w:ascii="Times New Roman" w:hAnsi="Times New Roman" w:cs="Times New Roman"/>
          <w:color w:val="000000"/>
        </w:rPr>
        <w:t xml:space="preserve"> (PW3). Suddenly two people,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them armed with a pistol, stormed the office and ordered PW1 to lie down or otherwise he would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shot. PW1 did so without a struggle. They got hold of PW2 and escorted him to an adjacent office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they forced him to open a safe from which the gang scooped a total of cash over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280 000.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28 December 1998 Corporal </w:t>
      </w:r>
      <w:proofErr w:type="spellStart"/>
      <w:r>
        <w:rPr>
          <w:rFonts w:ascii="Times New Roman" w:hAnsi="Times New Roman" w:cs="Times New Roman"/>
          <w:color w:val="000000"/>
        </w:rPr>
        <w:t>Mayeko</w:t>
      </w:r>
      <w:proofErr w:type="spellEnd"/>
      <w:r>
        <w:rPr>
          <w:rFonts w:ascii="Times New Roman" w:hAnsi="Times New Roman" w:cs="Times New Roman"/>
          <w:color w:val="000000"/>
        </w:rPr>
        <w:t xml:space="preserve"> and other police officers of </w:t>
      </w:r>
      <w:proofErr w:type="spellStart"/>
      <w:r>
        <w:rPr>
          <w:rFonts w:ascii="Times New Roman" w:hAnsi="Times New Roman" w:cs="Times New Roman"/>
          <w:color w:val="000000"/>
        </w:rPr>
        <w:t>Dondori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received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 information that there were suspicious strangers in a local bar called Chania. The police went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and arrested the second a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ppellant Anthony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Karegi</w:t>
      </w:r>
      <w:proofErr w:type="spellEnd"/>
      <w:r>
        <w:rPr>
          <w:rFonts w:ascii="Times New Roman" w:hAnsi="Times New Roman" w:cs="Times New Roman"/>
          <w:color w:val="000000"/>
        </w:rPr>
        <w:t xml:space="preserve"> in a group of other three persons who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armed with a revolver and a toy pistol and took them to the police station. On 8 January 1999 an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parade was conducted by inspector Mate in respect of the second appellant. PW1 and PW2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easily and without any hesitation picked him out and identified him as one of the robbers the subject of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trial. We note from the Identified him as one of the robbers the subject of the trial. We note from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Parade Form Police 156 that the second appellant expressed satisfaction with the conduct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parade. Earlier on 7 January 1999, Inspector </w:t>
      </w:r>
      <w:proofErr w:type="spellStart"/>
      <w:r>
        <w:rPr>
          <w:rFonts w:ascii="Times New Roman" w:hAnsi="Times New Roman" w:cs="Times New Roman"/>
          <w:color w:val="000000"/>
        </w:rPr>
        <w:t>Chepkwony</w:t>
      </w:r>
      <w:proofErr w:type="spellEnd"/>
      <w:r>
        <w:rPr>
          <w:rFonts w:ascii="Times New Roman" w:hAnsi="Times New Roman" w:cs="Times New Roman"/>
          <w:color w:val="000000"/>
        </w:rPr>
        <w:t xml:space="preserve"> PW6 had recorded a charge and caution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from the second appellant. In the statement, the second appellant confessed committing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crime charged. He narrated how he and others planned the robbery and how they shared the cash money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 from the Veterinary office. However, during the trial he retracted the statement but a trial within a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was conducted and the statement was accepted in evidence.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two appellants denied committing the offence charged but the Principal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Magistrate,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>, convicted them and accordingly sentenced each to death as by law mandated. In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appellate court, the following main points were canvassed by the appellants: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That identification was not water tight to justify the conviction and that no descriptions were given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two witnesses prior to the identification parade;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That the identification parade was not properly carried out since the participants (that is members)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of different sizes, height and complexions;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That the PW1 and PW2 had given contradictory evidence that should have been clinically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scrutinised</w:t>
      </w:r>
      <w:proofErr w:type="spellEnd"/>
      <w:r>
        <w:rPr>
          <w:rFonts w:ascii="Times New Roman" w:hAnsi="Times New Roman" w:cs="Times New Roman"/>
          <w:color w:val="000000"/>
        </w:rPr>
        <w:t xml:space="preserve"> to avoid prejudice;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That the prosecution had failed to avail the investigating officer who was vital to clear the shadow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doubts by the prosecution case;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nd</w:t>
      </w:r>
      <w:proofErr w:type="spellEnd"/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That the learned Magistrate had erred in fact by admitting in evidence the retracted statement of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first appeal the appellants were represented by counsel who submitted at length on each of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 mentioned grounds of appeal. But in a reserved judgment the first appellate court upheld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conviction and the sentence and </w:t>
      </w:r>
      <w:r>
        <w:rPr>
          <w:rFonts w:ascii="Times New Roman" w:hAnsi="Times New Roman" w:cs="Times New Roman"/>
          <w:color w:val="000000"/>
        </w:rPr>
        <w:lastRenderedPageBreak/>
        <w:t>dismissed the appeal.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ground of appeal taken before us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Cheche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two appellants was that the entire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before the trial court and subsequent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were a nullity in that no pleas were taken before the trial began. He referred to section 207(1) of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Procedure Code which provides as follows: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“207 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substance of the charge shall be stated to the accused person by the court, and he shall be</w:t>
      </w:r>
      <w:r w:rsidR="00A956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asked whether he admits or denies the truth of the charge.”</w:t>
      </w:r>
      <w:r w:rsidR="00A956A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Cheche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compliance with the section entails the explanation of the charge and all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essential ingredients to the accused in his vernacular or in some other language he understands and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accused’s own words in reply should be correctly translated into English and then carefully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recorded. If the words are an admission, a plea of guilty should be recorded. See </w:t>
      </w:r>
      <w:r>
        <w:rPr>
          <w:rFonts w:ascii="Times New Roman" w:hAnsi="Times New Roman" w:cs="Times New Roman"/>
          <w:i/>
          <w:iCs/>
          <w:color w:val="000000"/>
        </w:rPr>
        <w:t xml:space="preserve">Adan v Republic </w:t>
      </w:r>
      <w:r>
        <w:rPr>
          <w:rFonts w:ascii="Times New Roman" w:hAnsi="Times New Roman" w:cs="Times New Roman"/>
          <w:color w:val="000000"/>
        </w:rPr>
        <w:t>[1973]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EA 445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[1984] KLR 658. If the accused person does not admit the truth of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charge, the court shall proceed to hear the case section 207(2) of the Criminal Procedure Code.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 of the trial court shows that the two appellants were not asked to plead to the charge.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they first appeared before the Principal Magistrate a hearing date was taken straight away. It is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worthy of note that though the appellants were represented by counsel throughout the trial which lasted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a year, the question of the appellants not having pleaded to the charge was never raised. We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note that the appellants in their respective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categorically denied the charge. It is manifestly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clear, therefore, that the appellants were tried with the false notion that they had pleaded not guilty. It is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clear that the omission to plead was never raised before the first appellate court, though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had representation by counsel.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 then that arises in these circumstances is whether the appellants had a satisfactory trial. We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carefully </w:t>
      </w:r>
      <w:proofErr w:type="spellStart"/>
      <w:r>
        <w:rPr>
          <w:rFonts w:ascii="Times New Roman" w:hAnsi="Times New Roman" w:cs="Times New Roman"/>
          <w:color w:val="000000"/>
        </w:rPr>
        <w:t>scrutinised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records of the two courts below and we are satisfied that the irregularities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omission arising from the lack of opportunity to plead did not occasion a failure of justice and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whatever irregularities were committed were curable under section 382 of the Criminal Procedure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pause to consider the appeal of the first appellant David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>. On which evidence was 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convicted?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witnesses, PW1 and PW2 only identified the first appellant in court as one of the robbers who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attacked them in their office. This was therefore a dock identification. No identification parade was held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him. The trial court in convicting the first appellant only took into account his identification in the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dock in court by the witnesses. Such identification is worthless without an earlier identification parade.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Kiarie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[1984] KLR 740. In these circumstances, therefore, the conviction of the first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in the absence of any other evidence is unsafe and his appeal must be allowed. His conviction is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quashed, the sentence is set aside and the first appellant shall be set at liberty forthwith unless he is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lawfully held.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PW1 and PW2 testified that they identified the second appellant during the robbery which took place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daylight (3:30pm) and also owing to the length of time taken to commit it. Again the same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 identified him in an identification parade.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Cheche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complains that the parade was flawed,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with respect, we do not agree with him. We have checked the record and we have been unable to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detect any irregularities. In our view, the identification of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was positive and free from error. We are satisfied also that the parade had been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conducted in accordance with Police Force Standing Orders.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to the above evidence, there is the confession of the second appellant, though retracted. This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together with the evidence of PW1 and PW2 demonstrates amply that there is sufficient evidence to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 the conviction of the second appellant.</w:t>
      </w:r>
      <w:r w:rsidR="00A956A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conviction is therefore safe and we uphold it. His appeal is accordingly dismissed.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Cheche</w:t>
      </w:r>
      <w:proofErr w:type="spellEnd"/>
    </w:p>
    <w:p w:rsidR="000D0711" w:rsidRDefault="000D0711" w:rsidP="000D07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0D0711" w:rsidP="000D0711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11"/>
    <w:rsid w:val="000D0711"/>
    <w:rsid w:val="00A956A0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333B-A284-489B-AF01-3A8A3C99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2018-07-05T06:49:00Z</dcterms:created>
  <dcterms:modified xsi:type="dcterms:W3CDTF">2018-07-13T13:52:00Z</dcterms:modified>
</cp:coreProperties>
</file>