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Muriithi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311/05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jurisdiction – Duty of a first appellate court to re-evaluate evidence tendered in a trial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Method of re-evaluating the evidence – Sentencing procedure where the offences charged carry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both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capital and imprisonment terms.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01828" w:rsidRDefault="003C2C07" w:rsidP="00701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arrested and charged with the offences of robbery with violence contrary to section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296(2) of the Penal Code, being in possession of a firearm without certificate contrary to section 4(1) of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Firearm Act, being in possession of ammunition without a Firearm certificate contrary to section 4(2)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Firearm Act and preparation to commit a felony contrary to section 308(1) of the Penal Code.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later recorded a statement under inquiry which amounted to a confession. However, he later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retracted the same alleging that he was put in a cell and was beaten up and forced to record an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incriminating statement against his will. The trial magistrate however admitted the statement and being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beyond reasonable doubt, sentenced the accused to death on count one, and to terms of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for 18 months on the other two counts, the sentences to run consecutively.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appealed to the Superior Court on the grounds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prosecution case was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riddled with discrepancies, inconsistencies and contradictions; the appellant was only a victim of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there was insufficient evidence to connect him with possession of the firearm and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preparation to commit a felony; and that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disregarded without reasons. The Superior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came to the conclusion that the appellant was properly convicted on count 1 relating to robbery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violence. The court however noted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conflicting evidence relating to the identification of the colt pistol which the appellant was alleged to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had and gave the benefit of doubt to the appellant thereby allowing the appeal on that count and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 4. The convictions on those counts were set aside. The sentence of death nevertheless remained.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this present appeal.</w:t>
      </w:r>
      <w:r w:rsidR="00701828">
        <w:rPr>
          <w:rFonts w:ascii="Times New Roman" w:hAnsi="Times New Roman" w:cs="Times New Roman"/>
          <w:color w:val="000000"/>
        </w:rPr>
        <w:t xml:space="preserve"> </w:t>
      </w:r>
    </w:p>
    <w:p w:rsidR="00701828" w:rsidRDefault="00701828" w:rsidP="00701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C2C07" w:rsidRDefault="003C2C07" w:rsidP="007018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Once a sentence of death is imposed, the other counts are left in abeyance so that if there was a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 appeal on the count on which the death penalty has been imposed, the court dealing with the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would consider all the counts and if necessary, impose the appropriate sentence on the count on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appeal is not allowed.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 </w:t>
      </w:r>
      <w:r>
        <w:rPr>
          <w:rFonts w:ascii="Times New Roman" w:hAnsi="Times New Roman" w:cs="Times New Roman"/>
          <w:color w:val="000000"/>
        </w:rPr>
        <w:t xml:space="preserve">criminal appeal number 19 of 2001 (UR);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Kaimoi</w:t>
      </w:r>
      <w:proofErr w:type="spellEnd"/>
      <w:r w:rsidR="007018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R </w:t>
      </w:r>
      <w:r>
        <w:rPr>
          <w:rFonts w:ascii="Times New Roman" w:hAnsi="Times New Roman" w:cs="Times New Roman"/>
          <w:color w:val="000000"/>
        </w:rPr>
        <w:t xml:space="preserve">criminal appeal number 47 of 2001 (UR);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criminal appeal number 261 of 2003;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 w:rsidR="007018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R </w:t>
      </w:r>
      <w:r>
        <w:rPr>
          <w:rFonts w:ascii="Times New Roman" w:hAnsi="Times New Roman" w:cs="Times New Roman"/>
          <w:color w:val="000000"/>
        </w:rPr>
        <w:t>[1980] KLR 70 followed).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matters of law may be raised on second appeal as the Court will not interfere with concurrent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findings of fact unless they were based on no evidence as all or on a perversion of it.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[1982]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KLR 388;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[1982] KLR 213 followed).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trite law that on a first appeal, the Superior Court has a duty to reconsider the evidence, evaluate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itself and drew its own conclusion in deciding whether the judgment of the trial court should be upheld.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so doing however, allowance must be made for the fact that the trial court had the advantage of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and seeing witnesses.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[1972] EA 32; </w:t>
      </w:r>
      <w:r>
        <w:rPr>
          <w:rFonts w:ascii="Times New Roman" w:hAnsi="Times New Roman" w:cs="Times New Roman"/>
          <w:i/>
          <w:iCs/>
          <w:color w:val="000000"/>
        </w:rPr>
        <w:t xml:space="preserve">Peters v Sunday Post </w:t>
      </w:r>
      <w:r>
        <w:rPr>
          <w:rFonts w:ascii="Times New Roman" w:hAnsi="Times New Roman" w:cs="Times New Roman"/>
          <w:color w:val="000000"/>
        </w:rPr>
        <w:t>[1958] EA 424 followed).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no inconsistencies, contradictions or discrepancy and any such inconsistencies as there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were, were immaterial and incapable of affecting the totality of the incriminating evidence against the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yardstick for the manner in which the first appellate court ought to carry out the duty of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re-evaluation or fresh scrutiny of evidence. The extent and manner in which evaluation may be done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depends on the circumstances of each case and the style used by the appellate court. The test of adequacy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remains a question of substance. The evidence upon which the appellant was convicted on count 1 was</w:t>
      </w:r>
      <w:r w:rsidR="007018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soundly and carefully re-evaluated by the Superior Court. (</w:t>
      </w:r>
      <w:r>
        <w:rPr>
          <w:rFonts w:ascii="Times New Roman" w:hAnsi="Times New Roman" w:cs="Times New Roman"/>
          <w:i/>
          <w:iCs/>
          <w:color w:val="000000"/>
        </w:rPr>
        <w:t>Uganda Breweries Limited v Uganda</w:t>
      </w:r>
      <w:r w:rsidR="0070182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Railways Corporation </w:t>
      </w:r>
      <w:r>
        <w:rPr>
          <w:rFonts w:ascii="Times New Roman" w:hAnsi="Times New Roman" w:cs="Times New Roman"/>
          <w:color w:val="000000"/>
        </w:rPr>
        <w:t>[2002] EA 634 followed).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 </w:t>
      </w:r>
      <w:r>
        <w:rPr>
          <w:rFonts w:ascii="Times New Roman" w:hAnsi="Times New Roman" w:cs="Times New Roman"/>
          <w:color w:val="000000"/>
        </w:rPr>
        <w:t xml:space="preserve">criminal appeal number 19 of 2001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Gachuru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criminal appeal number 261 of 2003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Kaimoi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criminal appeal number 47 of 2001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Karingo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[1982] KLR 213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[1980] KLR 70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[1982] KLR 388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Uganda civil appeal 10 of 1987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[1972] EA 32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Peters v Sunday Post </w:t>
      </w:r>
      <w:r>
        <w:rPr>
          <w:rFonts w:ascii="Times New Roman" w:hAnsi="Times New Roman" w:cs="Times New Roman"/>
          <w:color w:val="000000"/>
        </w:rPr>
        <w:t xml:space="preserve">[1958] EA 424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C2C07" w:rsidRDefault="003C2C07" w:rsidP="003C2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Sembuya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Alports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Services Uganda Limited </w:t>
      </w:r>
      <w:r>
        <w:rPr>
          <w:rFonts w:ascii="Times New Roman" w:hAnsi="Times New Roman" w:cs="Times New Roman"/>
          <w:color w:val="000000"/>
        </w:rPr>
        <w:t>[1999] LLR 109 (SCU)</w:t>
      </w:r>
    </w:p>
    <w:p w:rsidR="00AB7022" w:rsidRDefault="003C2C07" w:rsidP="003C2C07">
      <w:r>
        <w:rPr>
          <w:rFonts w:ascii="Times New Roman" w:hAnsi="Times New Roman" w:cs="Times New Roman"/>
          <w:i/>
          <w:iCs/>
          <w:color w:val="000000"/>
        </w:rPr>
        <w:t xml:space="preserve">Uganda Breweries Limited v Uganda Railways Corporation </w:t>
      </w:r>
      <w:r>
        <w:rPr>
          <w:rFonts w:ascii="Times New Roman" w:hAnsi="Times New Roman" w:cs="Times New Roman"/>
          <w:color w:val="000000"/>
        </w:rPr>
        <w:t xml:space="preserve">[2002] EA 634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07"/>
    <w:rsid w:val="003C2C07"/>
    <w:rsid w:val="00701828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2B2DD-6707-4319-B3A0-538857D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2018-07-05T06:49:00Z</dcterms:created>
  <dcterms:modified xsi:type="dcterms:W3CDTF">2018-07-13T13:58:00Z</dcterms:modified>
</cp:coreProperties>
</file>