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147" w:rsidRDefault="00EC0147" w:rsidP="00EC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Muriithi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EC0147" w:rsidRDefault="00EC0147" w:rsidP="00EC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EC0147" w:rsidRDefault="00EC0147" w:rsidP="00EC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November 2006</w:t>
      </w:r>
    </w:p>
    <w:p w:rsidR="00EC0147" w:rsidRDefault="00EC0147" w:rsidP="00EC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311/05</w:t>
      </w:r>
    </w:p>
    <w:p w:rsidR="00EC0147" w:rsidRDefault="00EC0147" w:rsidP="00EC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 xml:space="preserve"> and Onyango-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EC0147" w:rsidRDefault="00EC0147" w:rsidP="00EC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C0147" w:rsidRDefault="00EC0147" w:rsidP="00EC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EC0147" w:rsidRDefault="00EC0147" w:rsidP="00EC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jurisdiction – Duty of a first appellate court to re-evaluate evidence tendered in a trial</w:t>
      </w:r>
    </w:p>
    <w:p w:rsidR="00EC0147" w:rsidRDefault="00EC0147" w:rsidP="00EC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court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Method of re-evaluating the evidence – Sentencing procedure where the offences charged carry</w:t>
      </w:r>
    </w:p>
    <w:p w:rsidR="00EC0147" w:rsidRDefault="00EC0147" w:rsidP="00EC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both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capital and imprisonment terms.</w:t>
      </w:r>
    </w:p>
    <w:p w:rsidR="00EC0147" w:rsidRDefault="008F6E26" w:rsidP="008F6E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EC0147" w:rsidRDefault="00EC0147" w:rsidP="008F6E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Githinji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Waki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Onyango-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Otieno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>On 1 November 1999, two police officers from Spring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Valley Police Station were deployed by their superior to go on foot-patrol duties along General </w:t>
      </w:r>
      <w:proofErr w:type="spellStart"/>
      <w:r>
        <w:rPr>
          <w:rFonts w:ascii="Times New Roman" w:hAnsi="Times New Roman" w:cs="Times New Roman"/>
          <w:color w:val="000000"/>
        </w:rPr>
        <w:t>Mathenge</w:t>
      </w:r>
      <w:proofErr w:type="spellEnd"/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Drive and Brookside Drive in </w:t>
      </w:r>
      <w:proofErr w:type="spellStart"/>
      <w:r>
        <w:rPr>
          <w:rFonts w:ascii="Times New Roman" w:hAnsi="Times New Roman" w:cs="Times New Roman"/>
          <w:color w:val="000000"/>
        </w:rPr>
        <w:t>Westlands</w:t>
      </w:r>
      <w:proofErr w:type="spellEnd"/>
      <w:r>
        <w:rPr>
          <w:rFonts w:ascii="Times New Roman" w:hAnsi="Times New Roman" w:cs="Times New Roman"/>
          <w:color w:val="000000"/>
        </w:rPr>
        <w:t xml:space="preserve"> area of Nairobi. They were PC Morris </w:t>
      </w:r>
      <w:proofErr w:type="spellStart"/>
      <w:r>
        <w:rPr>
          <w:rFonts w:ascii="Times New Roman" w:hAnsi="Times New Roman" w:cs="Times New Roman"/>
          <w:color w:val="000000"/>
        </w:rPr>
        <w:t>Mutuku</w:t>
      </w:r>
      <w:proofErr w:type="spellEnd"/>
      <w:r>
        <w:rPr>
          <w:rFonts w:ascii="Times New Roman" w:hAnsi="Times New Roman" w:cs="Times New Roman"/>
          <w:color w:val="000000"/>
        </w:rPr>
        <w:t xml:space="preserve"> (PW1) and PC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Edward Sang (PW4). PC </w:t>
      </w:r>
      <w:proofErr w:type="spellStart"/>
      <w:r>
        <w:rPr>
          <w:rFonts w:ascii="Times New Roman" w:hAnsi="Times New Roman" w:cs="Times New Roman"/>
          <w:color w:val="000000"/>
        </w:rPr>
        <w:t>Mutuku</w:t>
      </w:r>
      <w:proofErr w:type="spellEnd"/>
      <w:r>
        <w:rPr>
          <w:rFonts w:ascii="Times New Roman" w:hAnsi="Times New Roman" w:cs="Times New Roman"/>
          <w:color w:val="000000"/>
        </w:rPr>
        <w:t xml:space="preserve"> was armed with a G3 rifle with 20 rounds of ammunition while PC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Sang was armed with a sub-machine gun (SMG) </w:t>
      </w:r>
      <w:proofErr w:type="spellStart"/>
      <w:r>
        <w:rPr>
          <w:rFonts w:ascii="Times New Roman" w:hAnsi="Times New Roman" w:cs="Times New Roman"/>
          <w:color w:val="000000"/>
        </w:rPr>
        <w:t>patchet</w:t>
      </w:r>
      <w:proofErr w:type="spellEnd"/>
      <w:r>
        <w:rPr>
          <w:rFonts w:ascii="Times New Roman" w:hAnsi="Times New Roman" w:cs="Times New Roman"/>
          <w:color w:val="000000"/>
        </w:rPr>
        <w:t xml:space="preserve"> with 20 rounds of ammunition.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about noon that day, the two spotted an abandoned car along Brookside drive and they went to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check it out. Soon after, they saw two casually dressed men walking towards them on the opposite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direction of the road. The two men looked suspicious to the officers so they were stopped for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questioning. One of them was Simon </w:t>
      </w:r>
      <w:proofErr w:type="spellStart"/>
      <w:r>
        <w:rPr>
          <w:rFonts w:ascii="Times New Roman" w:hAnsi="Times New Roman" w:cs="Times New Roman"/>
          <w:color w:val="000000"/>
        </w:rPr>
        <w:t>Muriithi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Kariuki</w:t>
      </w:r>
      <w:proofErr w:type="spellEnd"/>
      <w:r>
        <w:rPr>
          <w:rFonts w:ascii="Times New Roman" w:hAnsi="Times New Roman" w:cs="Times New Roman"/>
          <w:color w:val="000000"/>
        </w:rPr>
        <w:t>, the appellant now before us, the other is still at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large. As soon as they were stopped, the other person spoke to the officers in a friendly manner telling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them, he and the appellant were not bad people as they were just workers who were going to install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electrical wiring in a building site nearby. The officers however demanded that they produce their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identity cards (ID) and the appellant gave PC </w:t>
      </w:r>
      <w:proofErr w:type="spellStart"/>
      <w:r>
        <w:rPr>
          <w:rFonts w:ascii="Times New Roman" w:hAnsi="Times New Roman" w:cs="Times New Roman"/>
          <w:color w:val="000000"/>
        </w:rPr>
        <w:t>Mutuku</w:t>
      </w:r>
      <w:proofErr w:type="spellEnd"/>
      <w:r>
        <w:rPr>
          <w:rFonts w:ascii="Times New Roman" w:hAnsi="Times New Roman" w:cs="Times New Roman"/>
          <w:color w:val="000000"/>
        </w:rPr>
        <w:t xml:space="preserve"> a police abstract claiming he had lost his ID, while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other man produced an ID in the name of Simon </w:t>
      </w:r>
      <w:proofErr w:type="spellStart"/>
      <w:r>
        <w:rPr>
          <w:rFonts w:ascii="Times New Roman" w:hAnsi="Times New Roman" w:cs="Times New Roman"/>
          <w:color w:val="000000"/>
        </w:rPr>
        <w:t>Ngunyi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Kibubi</w:t>
      </w:r>
      <w:proofErr w:type="spellEnd"/>
      <w:r>
        <w:rPr>
          <w:rFonts w:ascii="Times New Roman" w:hAnsi="Times New Roman" w:cs="Times New Roman"/>
          <w:color w:val="000000"/>
        </w:rPr>
        <w:t xml:space="preserve">. PC </w:t>
      </w:r>
      <w:proofErr w:type="spellStart"/>
      <w:r>
        <w:rPr>
          <w:rFonts w:ascii="Times New Roman" w:hAnsi="Times New Roman" w:cs="Times New Roman"/>
          <w:color w:val="000000"/>
        </w:rPr>
        <w:t>Mutuku</w:t>
      </w:r>
      <w:proofErr w:type="spellEnd"/>
      <w:r>
        <w:rPr>
          <w:rFonts w:ascii="Times New Roman" w:hAnsi="Times New Roman" w:cs="Times New Roman"/>
          <w:color w:val="000000"/>
        </w:rPr>
        <w:t xml:space="preserve"> passed them on to PC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Sang who started examining them. Just then, PC </w:t>
      </w:r>
      <w:proofErr w:type="spellStart"/>
      <w:r>
        <w:rPr>
          <w:rFonts w:ascii="Times New Roman" w:hAnsi="Times New Roman" w:cs="Times New Roman"/>
          <w:color w:val="000000"/>
        </w:rPr>
        <w:t>Mutuku</w:t>
      </w:r>
      <w:proofErr w:type="spellEnd"/>
      <w:r>
        <w:rPr>
          <w:rFonts w:ascii="Times New Roman" w:hAnsi="Times New Roman" w:cs="Times New Roman"/>
          <w:color w:val="000000"/>
        </w:rPr>
        <w:t xml:space="preserve"> noticed some eye communication between the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and the appellant stepped backwards and removed an American Colt Pistol tucked under his trousers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before PC </w:t>
      </w:r>
      <w:proofErr w:type="spellStart"/>
      <w:r>
        <w:rPr>
          <w:rFonts w:ascii="Times New Roman" w:hAnsi="Times New Roman" w:cs="Times New Roman"/>
          <w:color w:val="000000"/>
        </w:rPr>
        <w:t>Mutuku</w:t>
      </w:r>
      <w:proofErr w:type="spellEnd"/>
      <w:r>
        <w:rPr>
          <w:rFonts w:ascii="Times New Roman" w:hAnsi="Times New Roman" w:cs="Times New Roman"/>
          <w:color w:val="000000"/>
        </w:rPr>
        <w:t xml:space="preserve"> could reach him. PC </w:t>
      </w:r>
      <w:proofErr w:type="spellStart"/>
      <w:r>
        <w:rPr>
          <w:rFonts w:ascii="Times New Roman" w:hAnsi="Times New Roman" w:cs="Times New Roman"/>
          <w:color w:val="000000"/>
        </w:rPr>
        <w:t>Mutuku</w:t>
      </w:r>
      <w:proofErr w:type="spellEnd"/>
      <w:r>
        <w:rPr>
          <w:rFonts w:ascii="Times New Roman" w:hAnsi="Times New Roman" w:cs="Times New Roman"/>
          <w:color w:val="000000"/>
        </w:rPr>
        <w:t xml:space="preserve"> rolled down the pavement and tried to cock his G3 rifle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it failed to function immediately. Suddenly he heard two shots and PC Sang started screaming. PC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Sang had been shot by the appellant through the right shoulder and he fell down. The appellant then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picked up PC </w:t>
      </w:r>
      <w:proofErr w:type="spellStart"/>
      <w:r>
        <w:rPr>
          <w:rFonts w:ascii="Times New Roman" w:hAnsi="Times New Roman" w:cs="Times New Roman"/>
          <w:color w:val="000000"/>
        </w:rPr>
        <w:t>Sang’s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patchet</w:t>
      </w:r>
      <w:proofErr w:type="spellEnd"/>
      <w:r>
        <w:rPr>
          <w:rFonts w:ascii="Times New Roman" w:hAnsi="Times New Roman" w:cs="Times New Roman"/>
          <w:color w:val="000000"/>
        </w:rPr>
        <w:t xml:space="preserve"> and hit him on the head and then aimed at PC </w:t>
      </w:r>
      <w:proofErr w:type="spellStart"/>
      <w:r>
        <w:rPr>
          <w:rFonts w:ascii="Times New Roman" w:hAnsi="Times New Roman" w:cs="Times New Roman"/>
          <w:color w:val="000000"/>
        </w:rPr>
        <w:t>Mutuku</w:t>
      </w:r>
      <w:proofErr w:type="spellEnd"/>
      <w:r>
        <w:rPr>
          <w:rFonts w:ascii="Times New Roman" w:hAnsi="Times New Roman" w:cs="Times New Roman"/>
          <w:color w:val="000000"/>
        </w:rPr>
        <w:t xml:space="preserve"> and fired some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rounds at him but the officer rolled several times along the road while still trying to cock his rifle. The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dropped the colt pistol and remained with the </w:t>
      </w:r>
      <w:proofErr w:type="spellStart"/>
      <w:r>
        <w:rPr>
          <w:rFonts w:ascii="Times New Roman" w:hAnsi="Times New Roman" w:cs="Times New Roman"/>
          <w:color w:val="000000"/>
        </w:rPr>
        <w:t>patchet</w:t>
      </w:r>
      <w:proofErr w:type="spellEnd"/>
      <w:r>
        <w:rPr>
          <w:rFonts w:ascii="Times New Roman" w:hAnsi="Times New Roman" w:cs="Times New Roman"/>
          <w:color w:val="000000"/>
        </w:rPr>
        <w:t>. Luckily the G3 rifle started functioning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PC </w:t>
      </w:r>
      <w:proofErr w:type="spellStart"/>
      <w:r>
        <w:rPr>
          <w:rFonts w:ascii="Times New Roman" w:hAnsi="Times New Roman" w:cs="Times New Roman"/>
          <w:color w:val="000000"/>
        </w:rPr>
        <w:t>Mutuku</w:t>
      </w:r>
      <w:proofErr w:type="spellEnd"/>
      <w:r>
        <w:rPr>
          <w:rFonts w:ascii="Times New Roman" w:hAnsi="Times New Roman" w:cs="Times New Roman"/>
          <w:color w:val="000000"/>
        </w:rPr>
        <w:t xml:space="preserve"> started exchanging fire with the appellant as his unarmed colleague ran away. The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shouting “NIKUI, NIKUI” or words to that effect, meaning “dog” in Kikuyu language, as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retreated backwards while still firing. Due to the persistent firing by PC </w:t>
      </w:r>
      <w:proofErr w:type="spellStart"/>
      <w:r>
        <w:rPr>
          <w:rFonts w:ascii="Times New Roman" w:hAnsi="Times New Roman" w:cs="Times New Roman"/>
          <w:color w:val="000000"/>
        </w:rPr>
        <w:t>Mutuku</w:t>
      </w:r>
      <w:proofErr w:type="spellEnd"/>
      <w:r>
        <w:rPr>
          <w:rFonts w:ascii="Times New Roman" w:hAnsi="Times New Roman" w:cs="Times New Roman"/>
          <w:color w:val="000000"/>
        </w:rPr>
        <w:t>, the appellant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dropped the </w:t>
      </w:r>
      <w:proofErr w:type="spellStart"/>
      <w:r>
        <w:rPr>
          <w:rFonts w:ascii="Times New Roman" w:hAnsi="Times New Roman" w:cs="Times New Roman"/>
          <w:color w:val="000000"/>
        </w:rPr>
        <w:t>patchet</w:t>
      </w:r>
      <w:proofErr w:type="spellEnd"/>
      <w:r>
        <w:rPr>
          <w:rFonts w:ascii="Times New Roman" w:hAnsi="Times New Roman" w:cs="Times New Roman"/>
          <w:color w:val="000000"/>
        </w:rPr>
        <w:t xml:space="preserve"> and started running away but the officer gave chase and arrested him on lower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Kabete road. He handed him over to other officers who were passing in a police patrol car which took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him to Spring Valley Police Station. The whole incident had taken about thirty minutes and PC </w:t>
      </w:r>
      <w:proofErr w:type="spellStart"/>
      <w:r>
        <w:rPr>
          <w:rFonts w:ascii="Times New Roman" w:hAnsi="Times New Roman" w:cs="Times New Roman"/>
          <w:color w:val="000000"/>
        </w:rPr>
        <w:t>Mutuku</w:t>
      </w:r>
      <w:proofErr w:type="spellEnd"/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chased the appellant for about 600 </w:t>
      </w:r>
      <w:proofErr w:type="spellStart"/>
      <w:r>
        <w:rPr>
          <w:rFonts w:ascii="Times New Roman" w:hAnsi="Times New Roman" w:cs="Times New Roman"/>
          <w:color w:val="000000"/>
        </w:rPr>
        <w:t>metres</w:t>
      </w:r>
      <w:proofErr w:type="spellEnd"/>
      <w:r>
        <w:rPr>
          <w:rFonts w:ascii="Times New Roman" w:hAnsi="Times New Roman" w:cs="Times New Roman"/>
          <w:color w:val="000000"/>
        </w:rPr>
        <w:t xml:space="preserve"> without losing sight of him. Between them, the appellant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PC </w:t>
      </w:r>
      <w:proofErr w:type="spellStart"/>
      <w:r>
        <w:rPr>
          <w:rFonts w:ascii="Times New Roman" w:hAnsi="Times New Roman" w:cs="Times New Roman"/>
          <w:color w:val="000000"/>
        </w:rPr>
        <w:t>Mutuku</w:t>
      </w:r>
      <w:proofErr w:type="spellEnd"/>
      <w:r>
        <w:rPr>
          <w:rFonts w:ascii="Times New Roman" w:hAnsi="Times New Roman" w:cs="Times New Roman"/>
          <w:color w:val="000000"/>
        </w:rPr>
        <w:t xml:space="preserve"> had expended 31 rounds of ammunition in the </w:t>
      </w:r>
      <w:proofErr w:type="spellStart"/>
      <w:r>
        <w:rPr>
          <w:rFonts w:ascii="Times New Roman" w:hAnsi="Times New Roman" w:cs="Times New Roman"/>
          <w:color w:val="000000"/>
        </w:rPr>
        <w:t>shoot out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PC Sang was assisted by a good </w:t>
      </w:r>
      <w:proofErr w:type="spellStart"/>
      <w:r>
        <w:rPr>
          <w:rFonts w:ascii="Times New Roman" w:hAnsi="Times New Roman" w:cs="Times New Roman"/>
          <w:color w:val="000000"/>
        </w:rPr>
        <w:t>samaritan</w:t>
      </w:r>
      <w:proofErr w:type="spellEnd"/>
      <w:r>
        <w:rPr>
          <w:rFonts w:ascii="Times New Roman" w:hAnsi="Times New Roman" w:cs="Times New Roman"/>
          <w:color w:val="000000"/>
        </w:rPr>
        <w:t xml:space="preserve"> and taken to MP Shah </w:t>
      </w:r>
      <w:proofErr w:type="gramStart"/>
      <w:r>
        <w:rPr>
          <w:rFonts w:ascii="Times New Roman" w:hAnsi="Times New Roman" w:cs="Times New Roman"/>
          <w:color w:val="000000"/>
        </w:rPr>
        <w:t>hospital</w:t>
      </w:r>
      <w:proofErr w:type="gramEnd"/>
      <w:r>
        <w:rPr>
          <w:rFonts w:ascii="Times New Roman" w:hAnsi="Times New Roman" w:cs="Times New Roman"/>
          <w:color w:val="000000"/>
        </w:rPr>
        <w:t xml:space="preserve"> where he was admitted and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treated for five days. The </w:t>
      </w:r>
      <w:proofErr w:type="spellStart"/>
      <w:r>
        <w:rPr>
          <w:rFonts w:ascii="Times New Roman" w:hAnsi="Times New Roman" w:cs="Times New Roman"/>
          <w:color w:val="000000"/>
        </w:rPr>
        <w:t>patchet</w:t>
      </w:r>
      <w:proofErr w:type="spellEnd"/>
      <w:r>
        <w:rPr>
          <w:rFonts w:ascii="Times New Roman" w:hAnsi="Times New Roman" w:cs="Times New Roman"/>
          <w:color w:val="000000"/>
        </w:rPr>
        <w:t xml:space="preserve"> and colt pistol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collected and subsequently handed over to a ballistics expert, </w:t>
      </w:r>
      <w:proofErr w:type="spellStart"/>
      <w:r>
        <w:rPr>
          <w:rFonts w:ascii="Times New Roman" w:hAnsi="Times New Roman" w:cs="Times New Roman"/>
          <w:color w:val="000000"/>
        </w:rPr>
        <w:t>Mbogo</w:t>
      </w:r>
      <w:proofErr w:type="spellEnd"/>
      <w:r>
        <w:rPr>
          <w:rFonts w:ascii="Times New Roman" w:hAnsi="Times New Roman" w:cs="Times New Roman"/>
          <w:color w:val="000000"/>
        </w:rPr>
        <w:t xml:space="preserve"> Donald </w:t>
      </w:r>
      <w:proofErr w:type="spellStart"/>
      <w:r>
        <w:rPr>
          <w:rFonts w:ascii="Times New Roman" w:hAnsi="Times New Roman" w:cs="Times New Roman"/>
          <w:color w:val="000000"/>
        </w:rPr>
        <w:t>Mugo</w:t>
      </w:r>
      <w:proofErr w:type="spellEnd"/>
      <w:r>
        <w:rPr>
          <w:rFonts w:ascii="Times New Roman" w:hAnsi="Times New Roman" w:cs="Times New Roman"/>
          <w:color w:val="000000"/>
        </w:rPr>
        <w:t xml:space="preserve"> (PW5) for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examination.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Upon his arrest, the appellant was transferred to </w:t>
      </w:r>
      <w:proofErr w:type="spellStart"/>
      <w:r>
        <w:rPr>
          <w:rFonts w:ascii="Times New Roman" w:hAnsi="Times New Roman" w:cs="Times New Roman"/>
          <w:color w:val="000000"/>
        </w:rPr>
        <w:t>Gigiri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where investigations into the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matter commenced under CID Corporal Samuel </w:t>
      </w:r>
      <w:proofErr w:type="spellStart"/>
      <w:r>
        <w:rPr>
          <w:rFonts w:ascii="Times New Roman" w:hAnsi="Times New Roman" w:cs="Times New Roman"/>
          <w:color w:val="000000"/>
        </w:rPr>
        <w:t>Ngenywa</w:t>
      </w:r>
      <w:proofErr w:type="spellEnd"/>
      <w:r>
        <w:rPr>
          <w:rFonts w:ascii="Times New Roman" w:hAnsi="Times New Roman" w:cs="Times New Roman"/>
          <w:color w:val="000000"/>
        </w:rPr>
        <w:t xml:space="preserve"> (PW2). He was taken before IP John </w:t>
      </w:r>
      <w:proofErr w:type="spellStart"/>
      <w:r>
        <w:rPr>
          <w:rFonts w:ascii="Times New Roman" w:hAnsi="Times New Roman" w:cs="Times New Roman"/>
          <w:color w:val="000000"/>
        </w:rPr>
        <w:t>Odinga</w:t>
      </w:r>
      <w:proofErr w:type="spellEnd"/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(PW3) of that station who recorded a statement under inquiry from him which amounted to a confession.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Four counts were then preferred against the appellant before Nairobi Senior Resident Magistrate as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(1) Robbery with violence contrary to section 296(2) of the Penal Code, in that he did, jointly with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others not before the court being armed with a dangerous weapon, namely a pistol, rob PC Edward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Sang of his </w:t>
      </w:r>
      <w:proofErr w:type="spellStart"/>
      <w:r>
        <w:rPr>
          <w:rFonts w:ascii="Times New Roman" w:hAnsi="Times New Roman" w:cs="Times New Roman"/>
          <w:color w:val="000000"/>
        </w:rPr>
        <w:t>patchet</w:t>
      </w:r>
      <w:proofErr w:type="spellEnd"/>
      <w:r>
        <w:rPr>
          <w:rFonts w:ascii="Times New Roman" w:hAnsi="Times New Roman" w:cs="Times New Roman"/>
          <w:color w:val="000000"/>
        </w:rPr>
        <w:t xml:space="preserve"> valued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30 000 and used actual violence on him.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(2) Being in possession of a firearm without a firearm certificate contrary to section 4(1) of the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Firearm Act Chapter 114 Laws of Kenya, in that he had in possession a US </w:t>
      </w:r>
      <w:r>
        <w:rPr>
          <w:rFonts w:ascii="Times New Roman" w:hAnsi="Times New Roman" w:cs="Times New Roman"/>
          <w:color w:val="000000"/>
        </w:rPr>
        <w:lastRenderedPageBreak/>
        <w:t>Army Colt Pistol serial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154451 without a firearm certificate.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(3) Being in possession of ammunition without a Firearm certificate contrary to section 4(2)(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Firearm Act, in that he was in possession of four rounds of .45mm caliber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 ammunition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a certificate.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(4) Preparation to commit a felony contrary to section 308(1) of the Penal Code.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Five prosecution witnesses testified in the matter as did the appellant who gave sworn testimony. He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conceded that he met the two police officers at the time and place described by those officers but denied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was in the company of any other person. He was innocently going to see a friend nearby when he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stopped by the officers and asked for his Identity card. He gave it to PC </w:t>
      </w:r>
      <w:proofErr w:type="spellStart"/>
      <w:r>
        <w:rPr>
          <w:rFonts w:ascii="Times New Roman" w:hAnsi="Times New Roman" w:cs="Times New Roman"/>
          <w:color w:val="000000"/>
        </w:rPr>
        <w:t>Mutuku</w:t>
      </w:r>
      <w:proofErr w:type="spellEnd"/>
      <w:r>
        <w:rPr>
          <w:rFonts w:ascii="Times New Roman" w:hAnsi="Times New Roman" w:cs="Times New Roman"/>
          <w:color w:val="000000"/>
        </w:rPr>
        <w:t>, who read and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returned it to him. Then another person came along the same road and PC </w:t>
      </w:r>
      <w:proofErr w:type="spellStart"/>
      <w:r>
        <w:rPr>
          <w:rFonts w:ascii="Times New Roman" w:hAnsi="Times New Roman" w:cs="Times New Roman"/>
          <w:color w:val="000000"/>
        </w:rPr>
        <w:t>Mutuku</w:t>
      </w:r>
      <w:proofErr w:type="spellEnd"/>
      <w:r>
        <w:rPr>
          <w:rFonts w:ascii="Times New Roman" w:hAnsi="Times New Roman" w:cs="Times New Roman"/>
          <w:color w:val="000000"/>
        </w:rPr>
        <w:t xml:space="preserve"> asked him for his ID.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Instead of producing an ID card, that person produced a gun and shot PC Sang. As PC Sang fell, both the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and PC </w:t>
      </w:r>
      <w:proofErr w:type="spellStart"/>
      <w:r>
        <w:rPr>
          <w:rFonts w:ascii="Times New Roman" w:hAnsi="Times New Roman" w:cs="Times New Roman"/>
          <w:color w:val="000000"/>
        </w:rPr>
        <w:t>Mutuku</w:t>
      </w:r>
      <w:proofErr w:type="spellEnd"/>
      <w:r>
        <w:rPr>
          <w:rFonts w:ascii="Times New Roman" w:hAnsi="Times New Roman" w:cs="Times New Roman"/>
          <w:color w:val="000000"/>
        </w:rPr>
        <w:t xml:space="preserve"> ran to take cover. The appellant found a three-foot-deep ditch in which he hid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next seven minutes or so when gun-fire rent the air. When the shooting stopped, PC </w:t>
      </w:r>
      <w:proofErr w:type="spellStart"/>
      <w:r>
        <w:rPr>
          <w:rFonts w:ascii="Times New Roman" w:hAnsi="Times New Roman" w:cs="Times New Roman"/>
          <w:color w:val="000000"/>
        </w:rPr>
        <w:t>Mutuku</w:t>
      </w:r>
      <w:proofErr w:type="spellEnd"/>
      <w:r>
        <w:rPr>
          <w:rFonts w:ascii="Times New Roman" w:hAnsi="Times New Roman" w:cs="Times New Roman"/>
          <w:color w:val="000000"/>
        </w:rPr>
        <w:t xml:space="preserve"> went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him and asked him where the man had gone but he could not tell since he had been hiding. He was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taken away by some police officers to assist in making a statement about the incident and possibly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become a witness if they arrested the assailant. He was not under arrest at Spring Valley Police Station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where he stayed for 1½ hours before being taken to </w:t>
      </w:r>
      <w:proofErr w:type="spellStart"/>
      <w:r>
        <w:rPr>
          <w:rFonts w:ascii="Times New Roman" w:hAnsi="Times New Roman" w:cs="Times New Roman"/>
          <w:color w:val="000000"/>
        </w:rPr>
        <w:t>Gigiri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Station. It is there that he was put in a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cell and was beaten up and forced to record an incriminating statement against his will. He was later to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repudiate that statement at the trial but it was admitted in evidence after trial within trial. He pleaded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mistaken identity.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magistrate was satisfied beyond reasonable doubt that the appellant was in the same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with the man who escaped and that both of them were not only preparing to commit a felony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count four, but did in fact commit the felony of robbery with violence under count one. He also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that the appellant had in his possession the US Army Colt pistol which was used in the robbery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count 2, but acquitted him on count three for lack of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 evidence. He was sentenced to death on count one, and to terms of imprisonment for 18 months on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other two counts, the sentences to run consecutively.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passing, we must once again </w:t>
      </w:r>
      <w:proofErr w:type="spellStart"/>
      <w:r>
        <w:rPr>
          <w:rFonts w:ascii="Times New Roman" w:hAnsi="Times New Roman" w:cs="Times New Roman"/>
          <w:color w:val="000000"/>
        </w:rPr>
        <w:t>depricate</w:t>
      </w:r>
      <w:proofErr w:type="spellEnd"/>
      <w:r>
        <w:rPr>
          <w:rFonts w:ascii="Times New Roman" w:hAnsi="Times New Roman" w:cs="Times New Roman"/>
          <w:color w:val="000000"/>
        </w:rPr>
        <w:t xml:space="preserve"> the persistent failure by subordinate courts to heed this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Court’s directive on sentencing where the offences charged carry both capital and imprisonment terms.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need only reiterate what we have stated before in many other decisions, among them: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Boye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</w:t>
      </w:r>
      <w:r w:rsidR="008F6E2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another v R </w:t>
      </w:r>
      <w:r>
        <w:rPr>
          <w:rFonts w:ascii="Times New Roman" w:hAnsi="Times New Roman" w:cs="Times New Roman"/>
          <w:color w:val="000000"/>
        </w:rPr>
        <w:t xml:space="preserve">criminal appeal number 19 of 2001 (UR),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Kaimoi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criminal appeal number 47 of 2001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(UR),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Gachuru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 xml:space="preserve">criminal appeal number 261 of 2003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Muiruri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 xml:space="preserve">[1980] KLR 70.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Boye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the court stated as follows: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have repeatedly said that where an accused person is convicted on more than one capital charge as was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case here, the sensible thing to do is to sentence him to death on only one of the counts and leave the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others in abeyance, including any sentence of imprisonment. The reason for this ought to be obvious to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anyone who was minded to apply common sense to the issues at hand. In case of death, if the sentence is to be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carried out, a convict cannot be hanged twice or thrice over; he can only be hanged once and hence the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necessity for leaving sentence on the other counts in abeyance. And once a person has been sentenced to die,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 can be no sense in imposing on him a prison term. The case of the 1 appellant provides a good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illustration of this. If the appeal is heard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finalised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before the sentence of seven years imprisonment is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served is he required to serve that sentence and complete it first before the sentences of death is carried out?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 can find no sense at all in such a proposition and the long practice which we are aware of is that once a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sentence of death is imposed once, the other counts are left in abeyance so that if there was a successful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appeal on the count on which the death penalty has been imposed, the court dealing with the appeal would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consider all the counts and if necessary, impose the appropriate sentence on the count on which the appeal is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allowed. We hope that the sentencing courts will take heed of these simple requirements and act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appropriately.”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aggrieved by the decision of the trial court and so appealed to the Superior Court on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grounds that the prosecution case was riddled with discrepancies, inconsistencies and contradictions;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only a victim of circumstances; there was insufficient evidence to connect him with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possession of the firearm and preparation to commit a felony; and that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was disregarded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without reasons. All these issues were thoroughly </w:t>
      </w:r>
      <w:proofErr w:type="spellStart"/>
      <w:r>
        <w:rPr>
          <w:rFonts w:ascii="Times New Roman" w:hAnsi="Times New Roman" w:cs="Times New Roman"/>
          <w:color w:val="000000"/>
        </w:rPr>
        <w:t>analysed</w:t>
      </w:r>
      <w:proofErr w:type="spellEnd"/>
      <w:r>
        <w:rPr>
          <w:rFonts w:ascii="Times New Roman" w:hAnsi="Times New Roman" w:cs="Times New Roman"/>
          <w:color w:val="000000"/>
        </w:rPr>
        <w:t xml:space="preserve"> by the Superior Court (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Makhandia</w:t>
      </w:r>
      <w:proofErr w:type="spellEnd"/>
      <w:r>
        <w:rPr>
          <w:rFonts w:ascii="Times New Roman" w:hAnsi="Times New Roman" w:cs="Times New Roman"/>
          <w:color w:val="000000"/>
        </w:rPr>
        <w:t xml:space="preserve"> JJ) and it came to the conclusion that the appellant was properly convicted on count one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relating to robbery with violence. The court however noted conflicting evidence relating to the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identification of the colt pistol which the appellant was alleged to have had and gave the benefit of doubt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appellant thereby allowing the appeal on that count and on count four. The convictions on those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counts were set aside. The sentence of death nevertheless remained because the appellant was in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company with another when they violently robbed PC Sang of the </w:t>
      </w:r>
      <w:proofErr w:type="spellStart"/>
      <w:r>
        <w:rPr>
          <w:rFonts w:ascii="Times New Roman" w:hAnsi="Times New Roman" w:cs="Times New Roman"/>
          <w:color w:val="000000"/>
        </w:rPr>
        <w:t>patchet</w:t>
      </w:r>
      <w:proofErr w:type="spellEnd"/>
      <w:r>
        <w:rPr>
          <w:rFonts w:ascii="Times New Roman" w:hAnsi="Times New Roman" w:cs="Times New Roman"/>
          <w:color w:val="000000"/>
        </w:rPr>
        <w:t xml:space="preserve"> and injured him in the process.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was still not satisfied by that </w:t>
      </w:r>
      <w:r>
        <w:rPr>
          <w:rFonts w:ascii="Times New Roman" w:hAnsi="Times New Roman" w:cs="Times New Roman"/>
          <w:color w:val="000000"/>
        </w:rPr>
        <w:lastRenderedPageBreak/>
        <w:t>decision and now comes before us on a second and final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 As such, only matters of law may be raised as this Court would not interfere with concurrent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findings of fact unless they were based on no evidence at all or on a perversion of it. See section 361 of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Criminal Procedure Code,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Njoroge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 xml:space="preserve">[1982] KLR 388,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Karingo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[1982] KLR 213.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Although there were four grounds of appeal 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in a supplementary memorandum of appeal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filed on behalf of the appellant by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Ngumbau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Mutua</w:t>
      </w:r>
      <w:proofErr w:type="spellEnd"/>
      <w:r>
        <w:rPr>
          <w:rFonts w:ascii="Times New Roman" w:hAnsi="Times New Roman" w:cs="Times New Roman"/>
          <w:color w:val="000000"/>
        </w:rPr>
        <w:t xml:space="preserve"> and Associates, learned Counsel Miss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Masaka</w:t>
      </w:r>
      <w:proofErr w:type="spellEnd"/>
      <w:r w:rsidR="008F6E2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argued the appeal informed us that the issue of law that arises is that the Superior Court did not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subject the entire evidence to a fresh and exhaustive scrutiny. If they had done so, they would have noted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 contradictions, inconsistencies and discrepancies in the prosecution evidence; that the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ingredients of the offence had not been proved beyond reasonable doubt; and that the appellant’s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not considered. Miss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Masaka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particular submitted that the very finding by the Superior Court that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not in possession of the offending firearm as contended by the two police officers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meant that it was not the appellant who shot PC Sang and therefore the evidence of the officers was not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doubtful but supported the appellant’s evidence that he was innocently at the scene of the crime and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nothing to do with the assailant who disappeared. Such evidence could only have been believed if it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augmented by other evidence from persons who were mentioned in evidence as having been present.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was also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evidence on a report made in a Police Review Magazine which contradicted the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 of PC </w:t>
      </w:r>
      <w:proofErr w:type="spellStart"/>
      <w:r>
        <w:rPr>
          <w:rFonts w:ascii="Times New Roman" w:hAnsi="Times New Roman" w:cs="Times New Roman"/>
          <w:color w:val="000000"/>
        </w:rPr>
        <w:t>Mutuku</w:t>
      </w:r>
      <w:proofErr w:type="spellEnd"/>
      <w:r>
        <w:rPr>
          <w:rFonts w:ascii="Times New Roman" w:hAnsi="Times New Roman" w:cs="Times New Roman"/>
          <w:color w:val="000000"/>
        </w:rPr>
        <w:t>, which report and the failure to call the author of it, were not considered. For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reasons, she submitted, it was not safe to uphold the appellant’s conviction.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of course trite law that on a first appeal, the Superior Court has a duty to reconsider the evidence,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evaluate it itself and draw its own conclusion in deciding whether the judgment of the trial court should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upheld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Okeno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[1972] EA 32. In doing so however, allowance must be made for the fact that the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trial court had the advantage of hearing and seeing the witnesses –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Peters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v Sunday Post </w:t>
      </w:r>
      <w:r>
        <w:rPr>
          <w:rFonts w:ascii="Times New Roman" w:hAnsi="Times New Roman" w:cs="Times New Roman"/>
          <w:color w:val="000000"/>
        </w:rPr>
        <w:t>[1958] EA 424.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stated above the grounds upon which the trial court’s decision was impugned. The issue of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contradictory and inconsistent evidence was raised in the Superior Court as it was before us. We have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carefully examined the Superior Court’s record and it is clear to us that the court discharged its duty of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re-evaluation of the evidence and made findings of fact on that issue. The complaint related to four areas: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manner in which the two strangers approached the police officers; the stage at which the gangsters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began their attack on the police officers; the distance between the place at which the incident occurred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place where the appellant was arrested; and the recovery of the US colt pistol. The evidence in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respect of those complaints was </w:t>
      </w:r>
      <w:proofErr w:type="spellStart"/>
      <w:r>
        <w:rPr>
          <w:rFonts w:ascii="Times New Roman" w:hAnsi="Times New Roman" w:cs="Times New Roman"/>
          <w:color w:val="000000"/>
        </w:rPr>
        <w:t>analysed</w:t>
      </w:r>
      <w:proofErr w:type="spellEnd"/>
      <w:r>
        <w:rPr>
          <w:rFonts w:ascii="Times New Roman" w:hAnsi="Times New Roman" w:cs="Times New Roman"/>
          <w:color w:val="000000"/>
        </w:rPr>
        <w:t>, and we must say admirably so, before the Superior Court came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conclusion on all three complaints, that there were no inconsistencies, contradictions or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discrepancy and any such inconsistencies as there were, were immaterial and incapable of affecting the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totality of the incriminating evidence tendered against the appellant. We do not accept the submission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those issues were not considered sufficiently or at all.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Miss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Masaka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next example confirming that there was no re-evaluation of evidence was that the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Superior Court did not consider the appellant’s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.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was that he was a victim of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mistaken identity which contention was supported by a Police Review Magazine produced in evidence.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aspect was examined by the trial court which delivered itself as follows: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“It was also submitted that PW1 gave an interview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Ombati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the police review magazine in which it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was reported that the gangster who shot PC Sang and robbed him of the police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patchet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made good his escape.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was denied by PW1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who was recalled for cross examination.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Ombati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not called as a witness to reinforce his report in the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Police Review magazine the court cannot be expected to rely on what was reported in a newspaper to be the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truth and what is before court to be untrue. The evidence in total shows that he was together with another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 who escaped and the accused person did take part in whatever happened on this material day.”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Superior Court also examined the contention and stated: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“As regards the contention by the appellant that he may have been the victim of mistaken identity, we find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there was no possibility of the alleged mistaken identity. PW1, who exchanged gunfire with the appellant,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clearly testified that at no time did he lose sight of the appellant. We are convinced by his evidence, because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if he had lost concentration, PW1 would most probably have also been shot. Secondly, the incident occurred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broad daylight, at about 11:30am. We therefore do find that the identification of the appellant was positive,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thus very safe, in the circumstances prevailing.”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had applied before the trial court for the summoning of one Jasper </w:t>
      </w:r>
      <w:proofErr w:type="spellStart"/>
      <w:r>
        <w:rPr>
          <w:rFonts w:ascii="Times New Roman" w:hAnsi="Times New Roman" w:cs="Times New Roman"/>
          <w:color w:val="000000"/>
        </w:rPr>
        <w:t>Ombati</w:t>
      </w:r>
      <w:proofErr w:type="spellEnd"/>
      <w:r>
        <w:rPr>
          <w:rFonts w:ascii="Times New Roman" w:hAnsi="Times New Roman" w:cs="Times New Roman"/>
          <w:color w:val="000000"/>
        </w:rPr>
        <w:t xml:space="preserve"> who was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interviewed by a journalist in the magazine to testify on his behalf and a witness summons was issued.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witness however had not been served by the time the hearing of the trial resumed and the appellant’s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applied to dispense with him if the Magazine could be produced through the appellant. </w:t>
      </w:r>
      <w:r>
        <w:rPr>
          <w:rFonts w:ascii="Times New Roman" w:hAnsi="Times New Roman" w:cs="Times New Roman"/>
          <w:color w:val="000000"/>
        </w:rPr>
        <w:lastRenderedPageBreak/>
        <w:t>That was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done and thereafter the propriety of such evidence was considered and weighed against the sworn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on record but was disbelieved. The courts below were perfectly entitled to that assessment.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Once again we find no substance in the complaint that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was not considered.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final example given by Miss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Masaka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there was no re-evaluation of evidence was the failure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note that the elements of the offence were not proved. We think the submission arose out of the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finding made by the Superior Court that the appellant did not have in his possession the firearm specified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charge sheet because the serial numbers given in the evidence were at variance with the charge.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doubts led to his acquittal on that count. That however was not the end of the matter since section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296(2) of the Penal Code which constitutes the offence has several limbs any of which, if proved, would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lead to a conviction. The Superior Court examined the issue and expressed itself thus: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“To our minds, the ingredients of the offence of robbery with violence had been duly proved. The appellant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in the company of another person. Between the two of them, they were armed with a pistol, which is a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dangerous weapon. The said weapon was used to shoot PW4. Thereafter, the appellant robbed PW4 of his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gun. Accordingly, we hold that the conviction for the offence of robbery with violence was safe.”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agree with that assessment of the evidence and the law.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of course no yardstick for the manner in which the first appellate court ought to carry out the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duty of re-evaluation or fresh scrutiny of evidence. The right approach, we think, was expressed by the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supreme court of Uganda in </w:t>
      </w:r>
      <w:r>
        <w:rPr>
          <w:rFonts w:ascii="Times New Roman" w:hAnsi="Times New Roman" w:cs="Times New Roman"/>
          <w:i/>
          <w:iCs/>
          <w:color w:val="000000"/>
        </w:rPr>
        <w:t xml:space="preserve">Uganda Breweries Limited v Uganda Railways Corporation </w:t>
      </w:r>
      <w:r>
        <w:rPr>
          <w:rFonts w:ascii="Times New Roman" w:hAnsi="Times New Roman" w:cs="Times New Roman"/>
          <w:color w:val="000000"/>
        </w:rPr>
        <w:t>[2002] EA 634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641: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“There is no set format to which a re-evaluation of evidence by a first appellate court should conform. The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extent and manner in which evaluation may be done depends on the circumstances of each case and the style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used by the Appellate Court. In this regard, I shall refer to what this Court said in two cases. 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Sembuya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</w:t>
      </w:r>
      <w:r w:rsidR="008F6E26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Alports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Services Uganda Limited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[1999] LLR 109 (SCU),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Tsekooko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JSC said at 11: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 xml:space="preserve">I would accept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Byenkya’s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submission if he meant to say that the Court of Appeal did not go into details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evidence, but that is really a question of style. There is really no set format to which the re-evaluation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should conform. A first Appellate Court is expected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scrutinise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make an assessment of the evidence but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does not mean that the Court of Appeal should write a judgment similar to that of the (trial).”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Odongo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Supreme Court Uganda civil appeal 10 of 1987 (UR),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JSC (as he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was) said: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“While the length of the analysis may be indicative of a comprehensive evaluation of evidence, nevertheless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test of adequacy remains a question of substance.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 agree with the views expressed by the learned Justices of this Court in the two cases immediately referred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above.”</w:t>
      </w:r>
      <w:r w:rsidR="008F6E2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are in no doubt that the evidence upon which the appellant was convicted on count one was sound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was carefully re-evaluated by the Superior Court. The evidence of the police officers was believed by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two courts below and we have no reason to doubt </w:t>
      </w:r>
      <w:proofErr w:type="gramStart"/>
      <w:r>
        <w:rPr>
          <w:rFonts w:ascii="Times New Roman" w:hAnsi="Times New Roman" w:cs="Times New Roman"/>
          <w:color w:val="000000"/>
        </w:rPr>
        <w:t>them, that</w:t>
      </w:r>
      <w:proofErr w:type="gramEnd"/>
      <w:r>
        <w:rPr>
          <w:rFonts w:ascii="Times New Roman" w:hAnsi="Times New Roman" w:cs="Times New Roman"/>
          <w:color w:val="000000"/>
        </w:rPr>
        <w:t xml:space="preserve"> the appellant was together with another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who escaped from the scene of the robbery while the appellant was pursued and apprehended by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of the officers. The retracted confessionary statement was corroborated by those officers and was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consistent in part with the evidence on oath tendered by the appellant himself. Learned Principal State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Murungi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vigorously opposed the appeal and we express our appreciation for her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submissions.</w:t>
      </w:r>
      <w:r w:rsidR="008F6E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upshot is that the appeal has no merits and is hereby dismissed in its entirety.</w:t>
      </w:r>
    </w:p>
    <w:p w:rsidR="00EC0147" w:rsidRDefault="00EC0147" w:rsidP="00EC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EC0147" w:rsidRDefault="00EC0147" w:rsidP="00EC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Miss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Masaka</w:t>
      </w:r>
      <w:proofErr w:type="spellEnd"/>
    </w:p>
    <w:p w:rsidR="00EC0147" w:rsidRDefault="00EC0147" w:rsidP="00EC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EC0147" w:rsidP="00EC0147"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Murungi</w:t>
      </w:r>
      <w:proofErr w:type="spellEnd"/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47"/>
    <w:rsid w:val="008F6E26"/>
    <w:rsid w:val="00AB7022"/>
    <w:rsid w:val="00EC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48E12-D5AD-46F3-BD7D-4489949F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2924</Words>
  <Characters>16668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2018-07-05T06:50:00Z</dcterms:created>
  <dcterms:modified xsi:type="dcterms:W3CDTF">2018-07-13T13:59:00Z</dcterms:modified>
</cp:coreProperties>
</file>