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1A6" w:rsidRDefault="002661A6" w:rsidP="00266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Mushunga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Rwekanika</w:t>
      </w:r>
      <w:proofErr w:type="spellEnd"/>
    </w:p>
    <w:p w:rsidR="002661A6" w:rsidRDefault="002661A6" w:rsidP="00266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Tanzania at Mwanza</w:t>
      </w:r>
    </w:p>
    <w:p w:rsidR="002661A6" w:rsidRDefault="002661A6" w:rsidP="00266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8 January 1974</w:t>
      </w:r>
    </w:p>
    <w:p w:rsidR="002661A6" w:rsidRDefault="002661A6" w:rsidP="00266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16/1972 (103/74)</w:t>
      </w:r>
    </w:p>
    <w:p w:rsidR="002661A6" w:rsidRDefault="002661A6" w:rsidP="00266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Mfalila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2661A6" w:rsidRDefault="002661A6" w:rsidP="00266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2661A6" w:rsidRDefault="002661A6" w:rsidP="00266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Land – Sale – Agreement for sale – Presidential consent not obtained – Consent not required for</w:t>
      </w:r>
    </w:p>
    <w:p w:rsidR="002661A6" w:rsidRDefault="002661A6" w:rsidP="00266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agreement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Land Regulations, </w:t>
      </w:r>
      <w:r>
        <w:rPr>
          <w:rFonts w:ascii="Times New Roman" w:hAnsi="Times New Roman" w:cs="Times New Roman"/>
          <w:color w:val="000000"/>
        </w:rPr>
        <w:t xml:space="preserve">1948, </w:t>
      </w:r>
      <w:r>
        <w:rPr>
          <w:rFonts w:ascii="Times New Roman" w:hAnsi="Times New Roman" w:cs="Times New Roman"/>
          <w:i/>
          <w:iCs/>
          <w:color w:val="000000"/>
        </w:rPr>
        <w:t xml:space="preserve">r. </w:t>
      </w:r>
      <w:r>
        <w:rPr>
          <w:rFonts w:ascii="Times New Roman" w:hAnsi="Times New Roman" w:cs="Times New Roman"/>
          <w:color w:val="000000"/>
        </w:rPr>
        <w:t>3 (</w:t>
      </w:r>
      <w:r>
        <w:rPr>
          <w:rFonts w:ascii="Times New Roman" w:hAnsi="Times New Roman" w:cs="Times New Roman"/>
          <w:i/>
          <w:iCs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).</w:t>
      </w:r>
    </w:p>
    <w:p w:rsidR="002661A6" w:rsidRDefault="002661A6" w:rsidP="00266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Registration of Documents – Agreement of sale of land – Not compulsorily registrable –</w:t>
      </w:r>
    </w:p>
    <w:p w:rsidR="002661A6" w:rsidRDefault="002661A6" w:rsidP="00266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Registration of Documents Ordinance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117),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8 (</w:t>
      </w:r>
      <w:r>
        <w:rPr>
          <w:rFonts w:ascii="Times New Roman" w:hAnsi="Times New Roman" w:cs="Times New Roman"/>
          <w:i/>
          <w:iCs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).</w:t>
      </w:r>
    </w:p>
    <w:p w:rsidR="002661A6" w:rsidRDefault="000335B8" w:rsidP="000335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2661A6" w:rsidRDefault="002661A6" w:rsidP="000335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Mfalila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J: </w:t>
      </w:r>
      <w:r>
        <w:rPr>
          <w:rFonts w:ascii="Times New Roman" w:hAnsi="Times New Roman" w:cs="Times New Roman"/>
          <w:color w:val="000000"/>
        </w:rPr>
        <w:t xml:space="preserve">By an agreement dated 7 September 1967 the appellant </w:t>
      </w:r>
      <w:proofErr w:type="spellStart"/>
      <w:r>
        <w:rPr>
          <w:rFonts w:ascii="Times New Roman" w:hAnsi="Times New Roman" w:cs="Times New Roman"/>
          <w:color w:val="000000"/>
        </w:rPr>
        <w:t>Syliveri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Mushunga</w:t>
      </w:r>
      <w:proofErr w:type="spellEnd"/>
      <w:r>
        <w:rPr>
          <w:rFonts w:ascii="Times New Roman" w:hAnsi="Times New Roman" w:cs="Times New Roman"/>
          <w:color w:val="000000"/>
        </w:rPr>
        <w:t xml:space="preserve"> agreed to sell his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house on </w:t>
      </w:r>
      <w:proofErr w:type="spellStart"/>
      <w:r>
        <w:rPr>
          <w:rFonts w:ascii="Times New Roman" w:hAnsi="Times New Roman" w:cs="Times New Roman"/>
          <w:color w:val="000000"/>
        </w:rPr>
        <w:t>Jamhuri</w:t>
      </w:r>
      <w:proofErr w:type="spellEnd"/>
      <w:r>
        <w:rPr>
          <w:rFonts w:ascii="Times New Roman" w:hAnsi="Times New Roman" w:cs="Times New Roman"/>
          <w:color w:val="000000"/>
        </w:rPr>
        <w:t xml:space="preserve"> Street, </w:t>
      </w:r>
      <w:proofErr w:type="spellStart"/>
      <w:r>
        <w:rPr>
          <w:rFonts w:ascii="Times New Roman" w:hAnsi="Times New Roman" w:cs="Times New Roman"/>
          <w:color w:val="000000"/>
        </w:rPr>
        <w:t>Bukoba</w:t>
      </w:r>
      <w:proofErr w:type="spellEnd"/>
      <w:r>
        <w:rPr>
          <w:rFonts w:ascii="Times New Roman" w:hAnsi="Times New Roman" w:cs="Times New Roman"/>
          <w:color w:val="000000"/>
        </w:rPr>
        <w:t xml:space="preserve"> Township to the respondent, </w:t>
      </w:r>
      <w:proofErr w:type="spellStart"/>
      <w:r>
        <w:rPr>
          <w:rFonts w:ascii="Times New Roman" w:hAnsi="Times New Roman" w:cs="Times New Roman"/>
          <w:color w:val="000000"/>
        </w:rPr>
        <w:t>Theonestina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Rwekanika</w:t>
      </w:r>
      <w:proofErr w:type="spellEnd"/>
      <w:r>
        <w:rPr>
          <w:rFonts w:ascii="Times New Roman" w:hAnsi="Times New Roman" w:cs="Times New Roman"/>
          <w:color w:val="000000"/>
        </w:rPr>
        <w:t xml:space="preserve"> for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10,000/-.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was a condition of the agreement that the respondent do pay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4,000/- in advance and the balance of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6,000/- in instalments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500/- a month until full payment. This was done and on 31 October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1968 the respondent paid the last instalment. Thereupon she asked the appellant to go with her to the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Revenue Office to sign the transfer forms in respect of the house in her favour. The appellant refused,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giving as his reason that the respondent had not performed the terms of a collateral agreement regarding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payments of certain costs relating to the house and the plot. The respondent filed an action in the </w:t>
      </w:r>
      <w:proofErr w:type="spellStart"/>
      <w:r>
        <w:rPr>
          <w:rFonts w:ascii="Times New Roman" w:hAnsi="Times New Roman" w:cs="Times New Roman"/>
          <w:color w:val="000000"/>
        </w:rPr>
        <w:t>Bukoba</w:t>
      </w:r>
      <w:proofErr w:type="spellEnd"/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District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praying among other things that the appellant be ordered to sign transfer forms in respect of the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 of occupancy over the plot in question. At the end of the hearing in the District Court the resident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 found and entered judgment for the respondent and ordered the appellant to sign the transfer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forms in her favour. Hence the appellant’s appeal to this court.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his memorandum of appeal the appellant attacked the judgment and order made by the resident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 in the court below on several grounds, but principally that the agreement to sell was not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enforceable for two reasons. First that it was not registered under s. 8 of the Registration of Documents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Ordinance (Cap. 117) and secondly that it did not receive the Presidential approval under reg. 3 of the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Land Regulations 1948 and that therefore in view of the above the resident magistrate was wrong in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ordering specific performance. I will come back to these points later, but at the moment, I will refer to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another reason advanced by the appellant in the lower court as well as during the hearing of this appeal,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i.e. his failure to sign the transfer forms. He said that the respondent failed to perform a collateral oral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contract regarding the payments of site rates and other expenses pertaining to the land in question. But I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think it is clear that independently of the collateral agreement dated 12 December 1968 the respondent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liable to pay such costs, for the effect of the contract was to pass the equitable interest in the house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purchaser, although certainly the legal estate in the house remained in the vendor, until full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payment and transfer was effected. Further, in law, from the date of the contract of sale the respondent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assumed all risks of any loss or damage that might befall the house, for instance, accidental fire or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earthquake, and she had to meet the costs of all the outgoings, so that in law, the obligations of the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purchaser are not in dispute. Nevertheless, these cannot avail the appellant in the present case, because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magistrate made a specific finding of fact that the respondent had made good all these payments.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will now turn to consider the legal objections raised by the appellant in his memorandum of appeal.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I stated earlier, the appellant objects to the enforcement of the contract of sale between him and the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first because it was not registered and secondly because it was not approved by the President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reg. 3 of the Land Regulations 1948.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regard to s. 8 of the Registration of Documents Ordinance, it is clear that non-registration of this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contract did not and does not have the effect of making it unenforceable. Ss. 8 and 9 provide: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“8. ( 1)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registration of the following documents if executed or made after the commencement of</w:t>
      </w:r>
      <w:r w:rsidR="000335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this Ordinance is compulsory:</w:t>
      </w:r>
      <w:r w:rsidR="000335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n on-testamentary documents, including decrees of any Court, and awards which purport</w:t>
      </w:r>
      <w:r w:rsidR="000335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operate to create, confer, declare, limit, assign, transfer or extinguish any right, title,</w:t>
      </w:r>
      <w:r w:rsidR="000335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interest, whether vested or contingent, to, in or overland;</w:t>
      </w:r>
      <w:r w:rsidR="000335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r w:rsidR="000335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n on-testamentary documents which acknowledge the receipt or payment of any</w:t>
      </w:r>
      <w:r w:rsidR="000335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consideration, on account of the creation, declaration, assignment, limitation or</w:t>
      </w:r>
      <w:r w:rsidR="000335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extinction of any such rights, title, or interest.</w:t>
      </w:r>
      <w:r w:rsidR="000335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(2)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nothing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clauses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and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of sub-s. (1) applies to:</w:t>
      </w:r>
      <w:r w:rsidR="000335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 w:cs="Times New Roman"/>
          <w:color w:val="000000"/>
          <w:sz w:val="20"/>
          <w:szCs w:val="20"/>
        </w:rPr>
        <w:t>) any document not itself creating, declaring, assigning, limiting, or extinguishing any</w:t>
      </w:r>
      <w:r w:rsidR="000335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right, title or interest to or in land, but merely creating a right to obtain another</w:t>
      </w:r>
      <w:r w:rsidR="000335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document which will, when</w:t>
      </w:r>
      <w:r w:rsidR="000335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executed, create, declare, assign, limit or extinguish any such right, title or interest.</w:t>
      </w:r>
      <w:r w:rsidR="000335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document, if the only interest in land dealt with thereby relates to land registered</w:t>
      </w:r>
      <w:r w:rsidR="000335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under the Land Registration Ordinance.</w:t>
      </w:r>
      <w:r w:rsidR="000335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9.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 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documents of which the registration is compulsory shall be effectual to pass any land or any</w:t>
      </w:r>
      <w:r w:rsidR="000335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interest therein or render such land liable as security for the payment of money or be received</w:t>
      </w:r>
      <w:r w:rsidR="000335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 evidence of any dealing effecting such land unless and until it has been registered.”</w:t>
      </w:r>
      <w:r w:rsidR="000335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These are the provisions under which the appellant submits that the contract of sale entered into between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 and the respondent is unenforceable. But on the true construction of the section it is clear that it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cannot avail the appellant for clearly the contract of sale does not or was not intended to create, declare,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assign, transfer or extinguish any right in this house. All it did is what is provided in s. 8 (2), that it is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merely created a right, after its terms were complied with for the parties to obtain another document, that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to say the transfer document whose registration is compulsory under s. 8(1).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second objection against the enforceability of this contract advanced by the appellant is that the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contract did not receive the Presidential approval or consent under reg. 3 of the Land Regulations 1948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provides as follows: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Regulation 3. (1) A disposition of right of occupancy shall not be operative unless it is in writing and unless</w:t>
      </w:r>
      <w:r w:rsidR="000335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and until it is approved by the President.</w:t>
      </w:r>
      <w:r w:rsidR="000335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Disposition means among other things:</w:t>
      </w:r>
      <w:r w:rsidR="000335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A conveyance or assignment other than by way of mortgage or a gift, a settlement, a deed of partition,</w:t>
      </w:r>
      <w:r w:rsidR="000335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assent, vesting declaration or a sale in execution of an order of a court.</w:t>
      </w:r>
      <w:r w:rsidR="000335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 relied on several authorities for this proposition, principally, </w:t>
      </w:r>
      <w:r>
        <w:rPr>
          <w:rFonts w:ascii="Times New Roman" w:hAnsi="Times New Roman" w:cs="Times New Roman"/>
          <w:i/>
          <w:iCs/>
          <w:color w:val="000000"/>
        </w:rPr>
        <w:t>Patel v. Lawrenson</w:t>
      </w:r>
      <w:r>
        <w:rPr>
          <w:rFonts w:ascii="Times New Roman" w:hAnsi="Times New Roman" w:cs="Times New Roman"/>
          <w:color w:val="000000"/>
        </w:rPr>
        <w:t>, [1957]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E.A. 249, </w:t>
      </w:r>
      <w:r>
        <w:rPr>
          <w:rFonts w:ascii="Times New Roman" w:hAnsi="Times New Roman" w:cs="Times New Roman"/>
          <w:i/>
          <w:iCs/>
          <w:color w:val="000000"/>
        </w:rPr>
        <w:t xml:space="preserve">Patterson v. Kanji </w:t>
      </w:r>
      <w:r>
        <w:rPr>
          <w:rFonts w:ascii="Times New Roman" w:hAnsi="Times New Roman" w:cs="Times New Roman"/>
          <w:color w:val="000000"/>
        </w:rPr>
        <w:t xml:space="preserve">(1956), 23 E.A.C.A. 106, and lastly,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Fazal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Kassam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Mills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 xml:space="preserve">Ltd.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Kassam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[1960] E.A. 1042. The effect of the decisions in all these cases was that courts will not enforce a claim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can only be established by relying upon a transaction declared by law to be inoperative for lack of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approval under the Land Regulations.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do not think the construction that has been put by the appellant on the decisions in all these cases is a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correct one and even if it was, I think that the facts of this case are distinguishable from those cases. In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present case, the appellant has not even attempted to obtain the Presidential approval and I think if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courts are not careful, reg. 3 of the Land Regulations 1948 may be abused by unscrupulous sellers. I think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reg. 3 is applicable only to situations where the President’s consent has been sought and refused. It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not, and sellers should not be allowed, to use this regulation when they deliberately refuse to seek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consent. All arrangements to sell or in any way deal with rights of occupancy are contingent. The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contingency being the consent by the President, it follows that parties to an agreement of sale must take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 the necessary steps to obtain such consent and a seller cannot be heard to deny the validity of the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 freely entered into by him by pleading lack of consent under reg. 3 when he deliberately takes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up the position wherein consent cannot be obtained. There is another consideration regarding this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objection. A contract of sale was not contemplated by reg. 3. This regulation refers to dispositions which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defined by the same regulation to mean either conveyances or assignments. A contract of sale is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neither of these. It is just what it says it is, a contract by one party to sell and by the other to buy. When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both parties have completed their respective obligations, the seller is then obliged to convey the property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buyer. It is only at this stage that the Presidential consent comes in because for the conveyance to become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operative it must have the consent of the President. If at that stage the consent of the President is not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obtained for any reason, the buyer is entitled to a refund of all that he paid under the contract of sale, but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is not entitled to damages because it is through no fault of the seller that he cannot convey the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property. This to my understanding is what reg. 3 means and the lack of consent is only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to an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action for specific performance or damages, but cannot be a reason for holding the agreement to sell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void. It is for these reasons that the resident magistrate was correct in ordering specific performance of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contract of sale entered into between the parties and that the appellant must take all the necessary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steps that are required before the Presidential consent is sought. When the appellant has signed the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transfer forms at the Revenue Office </w:t>
      </w:r>
      <w:proofErr w:type="spellStart"/>
      <w:r>
        <w:rPr>
          <w:rFonts w:ascii="Times New Roman" w:hAnsi="Times New Roman" w:cs="Times New Roman"/>
          <w:color w:val="000000"/>
        </w:rPr>
        <w:t>Bukoba</w:t>
      </w:r>
      <w:proofErr w:type="spellEnd"/>
      <w:r>
        <w:rPr>
          <w:rFonts w:ascii="Times New Roman" w:hAnsi="Times New Roman" w:cs="Times New Roman"/>
          <w:color w:val="000000"/>
        </w:rPr>
        <w:t>, these together with the certificate of title will be forwarded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the Commissioner for Lands Dar 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 xml:space="preserve"> Salaam for approval and subsequently for registration at the Land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Registry, and if for any reason the Commissioner refuses to approve the conveyance, so that it cannot be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registered, no court of law will be able to compel the appellant to convey the house to the respondent, the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will only be entitled to a refund of what she paid under the contract of sale.</w:t>
      </w:r>
      <w:r w:rsidR="000335B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these reasons I am in complete agreement with the decision of the resident magistrate and that</w:t>
      </w:r>
    </w:p>
    <w:p w:rsidR="002661A6" w:rsidRDefault="002661A6" w:rsidP="00266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therefore</w:t>
      </w:r>
      <w:proofErr w:type="gramEnd"/>
      <w:r>
        <w:rPr>
          <w:rFonts w:ascii="Times New Roman" w:hAnsi="Times New Roman" w:cs="Times New Roman"/>
          <w:color w:val="000000"/>
        </w:rPr>
        <w:t xml:space="preserve"> this appeal should and is hereby dismissed with full costs to the respondent.</w:t>
      </w:r>
    </w:p>
    <w:p w:rsidR="003278A0" w:rsidRDefault="002661A6" w:rsidP="002661A6">
      <w:r>
        <w:rPr>
          <w:rFonts w:ascii="Times New Roman" w:hAnsi="Times New Roman" w:cs="Times New Roman"/>
          <w:i/>
          <w:iCs/>
          <w:color w:val="000000"/>
        </w:rPr>
        <w:t>Order accordingly.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1A6"/>
    <w:rsid w:val="000335B8"/>
    <w:rsid w:val="002661A6"/>
    <w:rsid w:val="0032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606B6-0D31-4126-A1E1-E48E4BC1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1541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2018-07-06T11:22:00Z</dcterms:created>
  <dcterms:modified xsi:type="dcterms:W3CDTF">2018-07-13T14:00:00Z</dcterms:modified>
</cp:coreProperties>
</file>