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66D" w:rsidRDefault="00D3666D" w:rsidP="00D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Muti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Kenya Finance Corporation and another</w:t>
      </w:r>
    </w:p>
    <w:p w:rsidR="00D3666D" w:rsidRDefault="00D3666D" w:rsidP="00D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D3666D" w:rsidRDefault="00D3666D" w:rsidP="00D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10 March 2004</w:t>
      </w:r>
    </w:p>
    <w:p w:rsidR="00D3666D" w:rsidRDefault="00D3666D" w:rsidP="00D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199/03</w:t>
      </w:r>
    </w:p>
    <w:p w:rsidR="00D3666D" w:rsidRDefault="00D3666D" w:rsidP="00D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Ochieng</w:t>
      </w:r>
      <w:proofErr w:type="spellEnd"/>
      <w:r>
        <w:rPr>
          <w:rFonts w:ascii="Times New Roman" w:hAnsi="Times New Roman" w:cs="Times New Roman"/>
          <w:color w:val="000000"/>
        </w:rPr>
        <w:t xml:space="preserve"> AJ</w:t>
      </w:r>
    </w:p>
    <w:p w:rsidR="00D3666D" w:rsidRDefault="00D3666D" w:rsidP="00D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3666D" w:rsidRDefault="00D3666D" w:rsidP="00D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D3666D" w:rsidRDefault="00D3666D" w:rsidP="00D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Estoppel – Equitable estoppel – Plaintiff defaulting in loan repayment – First security sold –</w:t>
      </w:r>
    </w:p>
    <w:p w:rsidR="00D3666D" w:rsidRDefault="00D3666D" w:rsidP="00D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Plaintiff acknowledging sale and pleading for waiver of balance and discharge of second security –</w:t>
      </w:r>
    </w:p>
    <w:p w:rsidR="00D3666D" w:rsidRDefault="00D3666D" w:rsidP="00D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Defendant, waiving and discharging security – Plaintiff suing in respect of first security – Whether</w:t>
      </w:r>
    </w:p>
    <w:p w:rsidR="00D3666D" w:rsidRDefault="00D3666D" w:rsidP="00D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plaintiff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estopped from suing – Order VI, rule 13(1)(b) and (d) – Civil Procedure Rules – Whether suit an</w:t>
      </w:r>
    </w:p>
    <w:p w:rsidR="00D3666D" w:rsidRDefault="00D3666D" w:rsidP="00D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abuse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court process.</w:t>
      </w:r>
    </w:p>
    <w:p w:rsidR="00D3666D" w:rsidRDefault="00167F3A" w:rsidP="00167F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D3666D" w:rsidRDefault="00D3666D" w:rsidP="00D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OCHIENG AJ</w:t>
      </w:r>
      <w:r>
        <w:rPr>
          <w:rFonts w:ascii="Times New Roman" w:hAnsi="Times New Roman" w:cs="Times New Roman"/>
          <w:color w:val="000000"/>
        </w:rPr>
        <w:t>: This is an application to strike out the plaintiff’s suit. The application is brought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pursuant to the provisions of Order VI, rule 13(1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of the Civil Procedure Rules, which reads as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follows:</w:t>
      </w:r>
    </w:p>
    <w:p w:rsidR="00D3666D" w:rsidRDefault="00D3666D" w:rsidP="00D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“At any stage of the proceedings the Court may order to be struck out or amended any leading on the ground</w:t>
      </w:r>
    </w:p>
    <w:p w:rsidR="00D3666D" w:rsidRDefault="00D3666D" w:rsidP="00D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D3666D" w:rsidRDefault="00D3666D" w:rsidP="00D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) ...</w:t>
      </w:r>
      <w:proofErr w:type="gramEnd"/>
    </w:p>
    <w:p w:rsidR="00D3666D" w:rsidRDefault="00D3666D" w:rsidP="00D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It is scandalous, frivolous or vexatious; or</w:t>
      </w:r>
    </w:p>
    <w:p w:rsidR="00D3666D" w:rsidRDefault="00D3666D" w:rsidP="00D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) ...</w:t>
      </w:r>
      <w:proofErr w:type="gramEnd"/>
    </w:p>
    <w:p w:rsidR="00D3666D" w:rsidRDefault="00D3666D" w:rsidP="00D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It is otherwise an abuse of the process of the Court,</w:t>
      </w:r>
    </w:p>
    <w:p w:rsidR="00D3666D" w:rsidRDefault="00D3666D" w:rsidP="00D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may order the suit to be stayed or dismissed or judgment to be entered accordingly, as the case may be”.</w:t>
      </w:r>
    </w:p>
    <w:p w:rsidR="00D3666D" w:rsidRDefault="00D3666D" w:rsidP="00167F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application is supported by the affidavit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BK </w:t>
      </w:r>
      <w:proofErr w:type="spellStart"/>
      <w:r>
        <w:rPr>
          <w:rFonts w:ascii="Times New Roman" w:hAnsi="Times New Roman" w:cs="Times New Roman"/>
          <w:color w:val="000000"/>
        </w:rPr>
        <w:t>Mitei</w:t>
      </w:r>
      <w:proofErr w:type="spellEnd"/>
      <w:r>
        <w:rPr>
          <w:rFonts w:ascii="Times New Roman" w:hAnsi="Times New Roman" w:cs="Times New Roman"/>
          <w:color w:val="000000"/>
        </w:rPr>
        <w:t>, the liquidation agent of the first defendant,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(hereinafter cited as the applicant).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his affidavit,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Mitei</w:t>
      </w:r>
      <w:proofErr w:type="spellEnd"/>
      <w:r>
        <w:rPr>
          <w:rFonts w:ascii="Times New Roman" w:hAnsi="Times New Roman" w:cs="Times New Roman"/>
          <w:color w:val="000000"/>
        </w:rPr>
        <w:t xml:space="preserve"> sets out the following facts, which were also relied upon extensively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167F3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Bundotich</w:t>
      </w:r>
      <w:proofErr w:type="spellEnd"/>
      <w:r>
        <w:rPr>
          <w:rFonts w:ascii="Times New Roman" w:hAnsi="Times New Roman" w:cs="Times New Roman"/>
          <w:color w:val="000000"/>
        </w:rPr>
        <w:t>, advocate of the applicant: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plaintiff was given a loan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320 000 in 1987. The loan was given by the applicant.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As security for the loan, the plaintiff charged two (2) properties, title numbers; Kabete/Kabete/887 and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Kabete/Kabete/889.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(iii) The plaintiff defaulted in his loan repayments. After several attempts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realise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security comprised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Kabete/Kabete/887, it was finally sold by public auction, to the second defendant, on 22 August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2001. The purchase price was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700 000.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(iv) After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sale, the plaintiff wrote to the liquidator of the first defendant, requesting that the balance still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outstanding be written off, as the plaintiff was financially incapacitated.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v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The liquidator agreed to write off the balance in order to achieve the process of the write off, the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liquidator sought and obtained court sanction.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(vi) 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first defendant wrote off the balance and thereafter discharged the title number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Kabete/Kabete/889, and released the said title to the plaintiff.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vii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Subsequently, the plaintiff instituted this suit, challenging the sale of LR Kabete/Kabete/887.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Given the scenario set out in paragraphs 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to (vii) above the applicant contends that the plaintiff cannot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allowed to prosecute this suit. The applicant says that the conduct of the plaintiff was akin to those of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someone who had accepted the sale, and who was only seeking reprieve from further action that could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otherwise be undertaken by the first defendant, to recover the balance of the debt that was still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outstanding.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Furthermore, the applicant acted on the plaintiff’s acknowledgement of the auction sale, and in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response to his request, the first defendant wrote-off the balance of the loan, (with the Court’s sanction),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discharged the second security. In these circumstances, the applicant submits that the plaintiff is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estopped by law from raising any issues regarding the validity or otherwise of the sale of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Kabete/Kabete/887. It is said that if the plaintiff was allowed to prosecute this suit, the first defendant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greatly prejudiced, as they had previously discharged the second security, to their detriment.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has submitted that it wrote off the balance of the debt, and discharged the second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security on the understanding that the plaintiff had any claims and/or rights in relation to the suit property. In effect, the Court is right in relation to the suit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property. In effect, the Court is being asked to bar the plaintiff from proceeding with this case, by striking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out, on the basis of equitable estoppel.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response to the application, the plaintiff has submitted that estoppel has no application in this case.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argument is that the wording of the letter dated 8 January 2002 could not found estoppel as alleged or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all. At this juncture, I consider it necessary to set out the terms of that letter: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“Asaph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Gathungu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Muti</w:t>
      </w:r>
      <w:proofErr w:type="spellEnd"/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 Box 60817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Nairobi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8 January 2002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Director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Deposit Protection Fund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Central Bank of Kenya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Thro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Liquidation Agent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Kenya Finance Bank (In-liquidation)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Central Bank of Kenya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Nairobi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Dear Sir,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Re Outstanding Debt: Kenya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lastRenderedPageBreak/>
        <w:t>Finance Bank Ltd (In Liquidation)</w:t>
      </w:r>
      <w:r w:rsidR="00167F3A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 wish to address you on the above matter as follows: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 was granted a loan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330 000 by Kenya Finance Corporation Ltd in July 1987 to assist me rear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chickens. My business of chicken rearing however collapsed due to various adverse factors ranging from high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prices of feed, poor market and theft.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Being a subsistence farmer with no other income, I have over the years strived to pay to the bank whatever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little I could afford. I have so far managed to pay over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105 000.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bank sold my property securing the debt LR number Kabete/Kabete/887 in August 2001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realising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total amount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700 000.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 am an old man aged 78 years and not engaged in any economic activity from which I could raise income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service the debt.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 also have no further property which I could sell to raise further funds as the only property left is the plot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where I live with my family. I have absolutely no other source of income and sale of my home would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condemn me and my family to destitution.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Given my present circumstances as outlined above, and the fact that the bank has fully recovered the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original principal amount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330 000 and a portion of interest from the amount already received I wish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humbly plead with the bank to waive the outstanding debt on this account which is comprised wholly of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interest.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 look forward to your kind consideration of my request.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Yours faithfully,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Asaph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Gathungu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”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salient portions of that letter, for the purposes of the application before me are paragraphs 4, 5, 6 and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7. In paragraph 4, the plaintiff acknowledges the fact that the applicant sold LR Kabete/Kabete/887 in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August 2001, for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700 000.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then explains in paragraphs 5 and 6 that he is unable to engage in any economic activity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which he could raise income to service the debt. He therefore requested the applicant not to sell the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other property, as that would condemn him and his family to destitution.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finally, at paragraph 7 of the letter, the plaintiff pleads humbly with the applicant to waive the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outstanding debt on his account.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my reading of the letter, I understand the plaintiff to have acknowledged that after the applicant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recovered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700 000 from the sale of LR Kabete/Kabete/887, the plaintiff’s account still reflected an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outstanding debt. He pleaded with the applicant to write off the balance of the debt, so as to save him and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family from destitution.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due consideration, the applicant wrote to the plaintiff on 21 March 2002, notifying him that the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had decided to write off the loan balance. Thereafter, the balance was written-off after the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gave its sanction. However, the plaintiff submits that the letter of 8 January 2002 cannot be read in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isolation. He says that the letter must be read within the circumstances then prevailing, and in particular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espoused in the letter dated 24 August 2001. The relevant part of that letter reads as follows: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 am in receipt of notification of sale of my above property, dated 26 June 2001 from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Messrs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Forefront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Agencies, but regret to note that you had not served me with the mandatory 90 days statutory notice”.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contended that that letter, which was written 4 days before the sale, proves that the plaintiff had at all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material times raised issues against the sale. The plaintiff submits that he was not attacking the right of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to sell the charged property. He was attacking the method applied by the applicant in selling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suit property. He says that insofar as the letter dated 8 January 2002 did not comment on the propriety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sale, the plaintiff cannot be estopped from challenging the propriety of the sale, by this suit.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then went on to illustrate the fact that the plaint raised several triable issues, which he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ought to be allowed to canvass before the Court. Examples of such triable issues are: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Failure to serve a statutory notice on the plaintiff;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Irregularity in the notice;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Bad faith on the part of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chargee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when it switched the date of sale;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Failure to give notice to the DC contrary to section 77(6) of the Registered Land Act (Chapter 300);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Sale at an under-value.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When the applicant was called upon the reply to the plaintiff’s submissions, they categorically stated that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before the Court should not be concerned with the question as to whether or not the plaint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discloses triable issues. The Court was invited to limit its consideration to the issue of the doctrine of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estoppel only, and to decline to inquire into the substantive matters raised in the plaint.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my considered view that if the question to be considered was regarding whether or not the plaint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raised any triable issues, the plaintiff would be correct. On the face of it, the plaint does raise several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important questions of law and fact. Therefore had I been dealing with an application for summary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judgment, I would most certainly have declined to grant judgment summarily. But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case, the applicant has invoked the doctrine of estoppel. In other words, the applicant is stating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whether or not the plaint raises some triable issues, the plaintiff ought not to be allowed to prosecute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suit.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</w:t>
      </w:r>
      <w:r>
        <w:rPr>
          <w:rFonts w:ascii="Times New Roman" w:hAnsi="Times New Roman" w:cs="Times New Roman"/>
          <w:i/>
          <w:iCs/>
          <w:color w:val="000000"/>
        </w:rPr>
        <w:t xml:space="preserve">English and Empire Digest </w:t>
      </w:r>
      <w:r>
        <w:rPr>
          <w:rFonts w:ascii="Times New Roman" w:hAnsi="Times New Roman" w:cs="Times New Roman"/>
          <w:color w:val="000000"/>
        </w:rPr>
        <w:t>Volume 21 at 288, is to be found a useful commentary on estoppel.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reads as follows: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“If a man, either in express terms or by conduct, makes a representation to another of the existence of a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certain state of facts which he intends to be acted upon in that way, in the belief of such a state of facts, to the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damage of him who so believes and acts, the first is estopped from denying the existence of such a state of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facts”.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same said commentary goes on to cite another example of </w:t>
      </w:r>
      <w:r>
        <w:rPr>
          <w:rFonts w:ascii="Times New Roman" w:hAnsi="Times New Roman" w:cs="Times New Roman"/>
          <w:color w:val="000000"/>
        </w:rPr>
        <w:lastRenderedPageBreak/>
        <w:t>the manner in which estoppel operates. It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puts it in the following words: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“If a man, whatever his real meaning may be, so conducts himself that a reasonable man would take his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conduct to mean a certain representation of facts and that it was a true representation and that the latter was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intended to act upon it in a particular way to his damage, the first is estopped from denying that the facts were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represented.”</w:t>
      </w:r>
      <w:r w:rsidR="00167F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Applying the foregoing principles to the case before me, I hold as follows; that the plaintiff did make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 written representations to the applicant by the letter dated 8 January 2002. I also hold that the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intended that the applicant should act upon the said representations in a particular way. I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understand the plaintiff to have intended to relay a message to the </w:t>
      </w:r>
      <w:proofErr w:type="gramStart"/>
      <w:r>
        <w:rPr>
          <w:rFonts w:ascii="Times New Roman" w:hAnsi="Times New Roman" w:cs="Times New Roman"/>
          <w:color w:val="000000"/>
        </w:rPr>
        <w:t>applicant, that</w:t>
      </w:r>
      <w:proofErr w:type="gramEnd"/>
      <w:r>
        <w:rPr>
          <w:rFonts w:ascii="Times New Roman" w:hAnsi="Times New Roman" w:cs="Times New Roman"/>
          <w:color w:val="000000"/>
        </w:rPr>
        <w:t xml:space="preserve"> he was well aware that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suit property had been sold. Through the said sale the applicant had recovered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700 000, but that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still left an outstanding balance, which he was pleading should be written off. To my mind, if the plaintiff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pleading for the write-off of the balance only, it implied that he had accepted the finality of the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auction sale, which gave rise to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700 000 that had been credited to his account. I cannot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comprehend how the can be seeking to challenge the very sale which resulted in this account being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credited with the purchase price. If he had intended to challenge the sale, there would have been nothing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simpler than his filing a suit to do so, outright.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also accept the applicant’s contention that they relied upon the plaintiff’s representation aforesaid,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then took action to write off the balance of the loan, and thereafter discharged the remaining security.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taken these actions, the plaintiff’s loan account no longer had any debits, as the same had been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written off. The applicant would thus be precluded from lodging a counter-claim in this suit for any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outstanding loan, as the records would not be reflecting any outstanding balances.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Similarly, following the discharge of the second security, and the release of the title documents to the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plaintiff, the applicant lost its entitlement to </w:t>
      </w:r>
      <w:proofErr w:type="spellStart"/>
      <w:r>
        <w:rPr>
          <w:rFonts w:ascii="Times New Roman" w:hAnsi="Times New Roman" w:cs="Times New Roman"/>
          <w:color w:val="000000"/>
        </w:rPr>
        <w:t>realise</w:t>
      </w:r>
      <w:proofErr w:type="spellEnd"/>
      <w:r>
        <w:rPr>
          <w:rFonts w:ascii="Times New Roman" w:hAnsi="Times New Roman" w:cs="Times New Roman"/>
          <w:color w:val="000000"/>
        </w:rPr>
        <w:t xml:space="preserve"> the said second security.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sum total of these steps undertaken by the applicant is that the applicant has become extremely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prejudiced. I therefore hold that it would be completely iniquitous to permit the plaintiff to prosecute the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herein. The only recourse that commends itself to me, as being just and equitable in this case is to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uphold the doctrine of estoppel against the plaintiff. Consequently, I grant orders in accordance with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prayer 1 of the chamber summons dated 22 October 2003. The suit herein is therefore struck out with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costs.</w:t>
      </w:r>
      <w:r w:rsidR="00167F3A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For the applicant:</w:t>
      </w:r>
    </w:p>
    <w:p w:rsidR="00D3666D" w:rsidRDefault="00D3666D" w:rsidP="00D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Bundotich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Cheptumo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Co</w:t>
      </w:r>
    </w:p>
    <w:p w:rsidR="00D3666D" w:rsidRDefault="00D3666D" w:rsidP="00D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21070D" w:rsidRDefault="00D3666D" w:rsidP="00D3666D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66D"/>
    <w:rsid w:val="00167F3A"/>
    <w:rsid w:val="0021070D"/>
    <w:rsid w:val="00D3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EC7BF-A439-4FDB-A422-3245EE33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1966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2018-07-04T12:38:00Z</dcterms:created>
  <dcterms:modified xsi:type="dcterms:W3CDTF">2018-07-13T14:06:00Z</dcterms:modified>
</cp:coreProperties>
</file>