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Muwonge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Musah</w:t>
      </w:r>
      <w:proofErr w:type="spellEnd"/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June 2004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77/01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Adriko</w:t>
      </w:r>
      <w:proofErr w:type="spellEnd"/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Breach – Determination by the party in breach of contract.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Contract – Terms – Incorporation of extraneous matters in the express terms of the contract –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Sections 90 and 91 Evidence Act Chapter 6.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07728" w:rsidRDefault="00466D3C" w:rsidP="00D077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and the respondent entered into an agreement for the purchase and sale of a plot of land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respectively. By a written agreement between them, the respondent sold the land to the appellant at a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price of U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7 000 000.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made a part payment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650 000 to the respondent. The rest of the purchase price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was, according to the agreement, to be paid upon a Special Certificate of Title being procured by the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in the appellant’s names. The terms of this informal agreement were reduced to a formal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time of this agreement, the respondent was indebted to the Non-Performing Assets Recovery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Trust (NPART) to the tune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4 000 000 and had mortgaged his property to secure this loan. The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aware of this but it was not a term of the sale agreement that he was required to pay the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outstanding balance (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6 350 000) of the purchase price for the plot of land expeditiously to enable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redeem his mortgage with NPART.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14 May 1998, the respondent wrote to the appellant telling him that the sale agreement for the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of land had terminated on 31 January 1998, the day when he resold the land to a third party.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5 May 1998 the appellant by his own effort, procured the requisite certificate of title without the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respondent’s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>. The third party lodged a caveat on the title which it, however, abandoned and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withdrew all its claims over the suit land.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filed a civil suit seeking, among others, declaration that the respondent was in breach of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sale agreement. The trial Court dismissed the suit on the ground that it was part of the agreement that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would pay the balance of the purchase price of the suit land within such time as would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enable the respondent to clear his indebtedness to NPART. Having failed to do so, the appellant was in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 of the agreement and the respondent was entitled to treat the agreement as repudiated. The trial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ordered the refund of U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650 000 to the appellant.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Appeal.</w:t>
      </w:r>
      <w:r w:rsidR="00D07728">
        <w:rPr>
          <w:rFonts w:ascii="Times New Roman" w:hAnsi="Times New Roman" w:cs="Times New Roman"/>
          <w:color w:val="000000"/>
        </w:rPr>
        <w:t xml:space="preserve"> </w:t>
      </w:r>
    </w:p>
    <w:p w:rsidR="00D07728" w:rsidRDefault="00D07728" w:rsidP="00D077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66D3C" w:rsidRDefault="00466D3C" w:rsidP="00D077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Sections 91 and 92 of the Evidence Act (Chapter 6) bar the </w:t>
      </w:r>
      <w:proofErr w:type="spellStart"/>
      <w:r>
        <w:rPr>
          <w:rFonts w:ascii="Times New Roman" w:hAnsi="Times New Roman" w:cs="Times New Roman"/>
          <w:color w:val="000000"/>
        </w:rPr>
        <w:t>adduction</w:t>
      </w:r>
      <w:proofErr w:type="spellEnd"/>
      <w:r>
        <w:rPr>
          <w:rFonts w:ascii="Times New Roman" w:hAnsi="Times New Roman" w:cs="Times New Roman"/>
          <w:color w:val="000000"/>
        </w:rPr>
        <w:t xml:space="preserve"> of extraneous evidence to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contradict, rebut, vary or otherwise alter the terms of a written document except under special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mentioned in section 92(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)-(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). The admission of evidence that the appellant was aware of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indebtedness to NPART at the time of the sale agreement, so as to condemn him for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breaching the agreement by failing to pay the balance of the purchase price in time to enable the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to redeem his mortgage, would contradict, vary, add to or subtract from the terms of the sale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procurement of a Special Certificate of Title was condition precedent to the payment of the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of the land sale price by the appellant. Both parties did not specify a date on which this money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to be paid (</w:t>
      </w:r>
      <w:r>
        <w:rPr>
          <w:rFonts w:ascii="Times New Roman" w:hAnsi="Times New Roman" w:cs="Times New Roman"/>
          <w:i/>
          <w:iCs/>
          <w:color w:val="000000"/>
        </w:rPr>
        <w:t xml:space="preserve">Osman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Mulangira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Supreme Court civil case number 38 of 1995 (UR) distinguished).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the appellant was not in breach of the contract.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relying on the NPART debt, the </w:t>
      </w:r>
      <w:bookmarkStart w:id="0" w:name="_GoBack"/>
      <w:bookmarkEnd w:id="0"/>
      <w:r w:rsidR="00D07728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had relied on a matter extraneous to the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between the parties.</w:t>
      </w:r>
      <w:r w:rsidR="00D077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Bitwire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Supreme Court civil case number 23 of 1995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Jinabhai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Ltd v Eustace Sisal Estate Ltd </w:t>
      </w:r>
      <w:r>
        <w:rPr>
          <w:rFonts w:ascii="Times New Roman" w:hAnsi="Times New Roman" w:cs="Times New Roman"/>
          <w:color w:val="000000"/>
        </w:rPr>
        <w:t>[1967] EA 153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Supreme Court civil case number 10 of 1995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Osman v Haji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Haruna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Mulangira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Supreme Court civil case number 38 of 1995 (UR)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Pandya v Republic </w:t>
      </w:r>
      <w:r>
        <w:rPr>
          <w:rFonts w:ascii="Times New Roman" w:hAnsi="Times New Roman" w:cs="Times New Roman"/>
          <w:color w:val="000000"/>
        </w:rPr>
        <w:t xml:space="preserve">[1957] EA 336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466D3C" w:rsidRDefault="00466D3C" w:rsidP="00466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1070D" w:rsidRDefault="00466D3C" w:rsidP="00466D3C">
      <w:r>
        <w:rPr>
          <w:rFonts w:ascii="Times New Roman" w:hAnsi="Times New Roman" w:cs="Times New Roman"/>
          <w:i/>
          <w:iCs/>
          <w:color w:val="000000"/>
        </w:rPr>
        <w:t>Turner v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3C"/>
    <w:rsid w:val="0021070D"/>
    <w:rsid w:val="00466D3C"/>
    <w:rsid w:val="00D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752E7-AEA5-47B6-B8EB-10D67D53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2018-07-04T12:39:00Z</dcterms:created>
  <dcterms:modified xsi:type="dcterms:W3CDTF">2018-07-13T14:07:00Z</dcterms:modified>
</cp:coreProperties>
</file>