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Muwonge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Musah</w:t>
      </w:r>
      <w:proofErr w:type="spellEnd"/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June 2004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77/01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– Determination by the party in breach of contract.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Contract – Terms – Incorporation of extraneous matters in the express terms of the contract –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Sections 90 and 91 Evidence Act Chapter 6.</w:t>
      </w:r>
    </w:p>
    <w:p w:rsidR="003D5B9B" w:rsidRDefault="004C241A" w:rsidP="004C24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C241A" w:rsidRDefault="003D5B9B" w:rsidP="004C24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ENGWAU JA: </w:t>
      </w:r>
      <w:r>
        <w:rPr>
          <w:rFonts w:ascii="Times New Roman" w:hAnsi="Times New Roman" w:cs="Times New Roman"/>
          <w:color w:val="000000"/>
        </w:rPr>
        <w:t>This is an appeal against the judgment and orders of the High Court in High Court civil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number 559 of 1998 in which the appellant’s suit against the respondent was dismissed with costs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court ordered that the appellant be refunded his </w:t>
      </w:r>
      <w:proofErr w:type="spellStart"/>
      <w:r>
        <w:rPr>
          <w:rFonts w:ascii="Times New Roman" w:hAnsi="Times New Roman" w:cs="Times New Roman"/>
          <w:color w:val="000000"/>
        </w:rPr>
        <w:t>Ug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 paid to the respondent as part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the purchase price of land.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brief facts of this case were that on 19 December 1997, the respondent sold his registered land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comprised in </w:t>
      </w:r>
      <w:proofErr w:type="spellStart"/>
      <w:r>
        <w:rPr>
          <w:rFonts w:ascii="Times New Roman" w:hAnsi="Times New Roman" w:cs="Times New Roman"/>
          <w:color w:val="000000"/>
        </w:rPr>
        <w:t>Kibuga</w:t>
      </w:r>
      <w:proofErr w:type="spellEnd"/>
      <w:r>
        <w:rPr>
          <w:rFonts w:ascii="Times New Roman" w:hAnsi="Times New Roman" w:cs="Times New Roman"/>
          <w:color w:val="000000"/>
        </w:rPr>
        <w:t xml:space="preserve"> Block 8, plot number 484, to the appellant for an agreed purchase price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7 000 000. On that day the appellant made part payment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 to the respondent.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reduced an informal agreement written by the parties themselves, Exhibit P1. On 29 December 1997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formal agreement between the parties confirming the same terms was drawn by a firm of advocates,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P2.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Exhibits P1 and P2 it was specifically agreed that upon a special certificate of title being procured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respondent, the appellant would pay the remaining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 and the appellant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given vacant possession of the said land and the same would also be transferred into his name.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at the time, was indebted to the Non-Performing Assets Recovery Trust (NPART) in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4 000 000. He had mortgaged some property for that loan. The appellant was aware of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indebtedness to NPART and, therefore, the need to pay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 to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avoid the sale of the respondent’s property worth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200 000 000. Although the appellant was aware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respondent’s indebtedness and need for payment the balance, this was not one of the terms of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for sale of the said land.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however, wrote Exhibit D2 on 14 May 1998 claiming that the deal between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had effectively terminated on 31 January 1998. Apparently that was the date when the respondent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sold the land in dispute to a third party,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Goodways</w:t>
      </w:r>
      <w:proofErr w:type="spellEnd"/>
      <w:r>
        <w:rPr>
          <w:rFonts w:ascii="Times New Roman" w:hAnsi="Times New Roman" w:cs="Times New Roman"/>
          <w:color w:val="000000"/>
        </w:rPr>
        <w:t xml:space="preserve"> Trustees Limited. On 5 May 1998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on his own procured the requisite special certificate of title, Exhibit P4, without involving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respondent. As a result, the respondent and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Goodways</w:t>
      </w:r>
      <w:proofErr w:type="spellEnd"/>
      <w:r>
        <w:rPr>
          <w:rFonts w:ascii="Times New Roman" w:hAnsi="Times New Roman" w:cs="Times New Roman"/>
          <w:color w:val="000000"/>
        </w:rPr>
        <w:t xml:space="preserve"> Trustees Limited lodged a caveat on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P4.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Consequently,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Goodways</w:t>
      </w:r>
      <w:proofErr w:type="spellEnd"/>
      <w:r>
        <w:rPr>
          <w:rFonts w:ascii="Times New Roman" w:hAnsi="Times New Roman" w:cs="Times New Roman"/>
          <w:color w:val="000000"/>
        </w:rPr>
        <w:t xml:space="preserve"> Trustees Limited abandoned its claim over the suit land and vacated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caveat on 18 May 1999. The appellant then withdrew the suit against it, leaving only the respondent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whom it was jointly and severally sued. On 30 March 2001, the appellant’s suit via High Court civil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number 559 of 1998 was dismissed with costs, hence this appeal.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contains 6 grounds, namely: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failed to take into account the provisions of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sections 90 and 91 of the Evidence Act (Chapter 43) and/or wrongly relied on matters that were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extraneous to the suit of contract.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wrongly relied on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unpleaded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and/or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unproved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and thereby wrongly dismissed the appellant’s suit.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that, having held that the appellant had established his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claim, he went on to hold that the respondent was entitled to rescind the contract, thereby contradicting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himself and wrongly dismissing the appellant’s suit.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failed to subject the evidence adduced to an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adequate and exhaustive scrutiny, and relied on mere speculation, thereby coming to the wrong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conclusion that the appellant was the party in default.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misdirected himself about the nature and extent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appellant’s loss and the value of the suit land.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proceeded to determine an issue which had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expressly abandoned by the appellant, along with the prayers based thereon.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color w:val="000000"/>
        </w:rPr>
        <w:t>, learned counsel for appellant, argued grounds 1, 3 and 5 separately and grounds 2, 4 and 6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together.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respondent, followed the same order and I shall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the same.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ground, the complaint is that the suit land was the subject of a written contract comprised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two documents, to wit, Exhibits P1 and P2. It was the contention </w:t>
      </w:r>
      <w:r>
        <w:rPr>
          <w:rFonts w:ascii="Times New Roman" w:hAnsi="Times New Roman" w:cs="Times New Roman"/>
          <w:color w:val="000000"/>
        </w:rPr>
        <w:lastRenderedPageBreak/>
        <w:t>of counsel for the appellant that in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determining which of the two parties was in breach of that contract, the Learned trial Judge should have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terms of the contract, particularly the time when the balance was payable under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contract. He argued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instead relied on extraneous matters in complete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 of the express terms of the contract. Counsel submitted that the trial Judge relied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 of the appellant that he (the appellant) was aware of the respondent’s indebtedness to NPART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4 000 000. He then concluded that the respondent was entitled to rescind the contract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redeem his property worth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200 000 000 since the appellant had failed to pay the balance to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rescue the respondent.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contended that the respondent’s indebtedness to NPART and the alleged deadline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 February 1998 by which it was supposed to be settled, do not feature anywhere in the express terms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contract. What features in the express terms of the contract, according to counsel, is that the appellant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supposed to pay the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 after the respondent had procured a special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title. The appellant would then be given possession of the suit land, and the same would be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transferred into his names. In counsel’s view, the Learned trial Judge was wrong when he based his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on a debt between the respondent and NPART which was not an express term of the contract.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relied on the provisions of section 91 and 92 of the Evidence Act and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Osman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Mulangira</w:t>
      </w:r>
      <w:proofErr w:type="spellEnd"/>
      <w:r w:rsidR="004C241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civil case number 38 of 1995 (UR).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 for the respondent, does not agree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failed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take into account the provisions of section 91 and 92 of the Evidence Act and/or wrongly relied on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that were extraneous to the suit contract. Counsel conceded that Exhibits P1 and P2 are the two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that formed the contract. He, however, submitted that in determining which of the two parties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breach of the contract, the Court had to look at the evidence as a whole including the express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in Exhibits P1 and P2 and other evidence that was available to the Court in the suit. In counsel’s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the issue of the respondent being indebted to NPART formed part of the evidence that was adduced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Court. He pointed out, for example, during cross-examination, the appellant admitted thus: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Musonge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told me he had pledged property to NPART. He asked me to advance him money to offset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NPART debt. I did not advance him any money”.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submitted, therefore, that, that piece of evidence was not an extraneous matter as if formed part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evidence that was assembled before court.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further submitted that since both parties were aware of NPART debt, it was not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put it in an agreement of sale. According to counsel, the appellant was aware of it and that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why he admitted it. In counsel’s view, the Learned trial Judge was right to hold thus: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more likely in the circumstances that he failed to meet the deadline for payment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4 000 000,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 defendant needed for NPART debt and consequently the defendant decided to sell the property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second defendant. I do find, therefore, that the first defendant was entitled to rescind the contract since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had failed to meet his part of the bargain”.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submitted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was right to rely on the issue of NPART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he was not adding to or varying the terms of the contract as the evidence was given by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himself in Court.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Osman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case is distinguishable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present one. In that case the balance of the purchase price was to be paid by instalments on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dates. In the present case, counsel submitted that no specified date for payment of the balance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indicated. In the premises, </w:t>
      </w:r>
      <w:r>
        <w:rPr>
          <w:rFonts w:ascii="Times New Roman" w:hAnsi="Times New Roman" w:cs="Times New Roman"/>
          <w:i/>
          <w:iCs/>
          <w:color w:val="000000"/>
        </w:rPr>
        <w:t>Osman</w:t>
      </w:r>
      <w:r>
        <w:rPr>
          <w:rFonts w:ascii="Times New Roman" w:hAnsi="Times New Roman" w:cs="Times New Roman"/>
          <w:color w:val="000000"/>
        </w:rPr>
        <w:t>’s case is not applicable to the present one. In the result, the first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should be dismissed.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first appellate court, it is our duty to re-appraise the evidence as a whole and subject it to fresh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scrutiny and reach our conclusions. See rule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Rules of this Court; </w:t>
      </w:r>
      <w:r>
        <w:rPr>
          <w:rFonts w:ascii="Times New Roman" w:hAnsi="Times New Roman" w:cs="Times New Roman"/>
          <w:i/>
          <w:iCs/>
          <w:color w:val="000000"/>
        </w:rPr>
        <w:t>Pandya v Republic</w:t>
      </w:r>
      <w:r w:rsidR="004C241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[1957] EA 336; </w:t>
      </w:r>
      <w:r>
        <w:rPr>
          <w:rFonts w:ascii="Times New Roman" w:hAnsi="Times New Roman" w:cs="Times New Roman"/>
          <w:i/>
          <w:iCs/>
          <w:color w:val="000000"/>
        </w:rPr>
        <w:t xml:space="preserve">Charles 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Bitwire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Supreme Court civil case number 23 of 1995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 w:rsidR="004C241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Henry v Uganda </w:t>
      </w:r>
      <w:r>
        <w:rPr>
          <w:rFonts w:ascii="Times New Roman" w:hAnsi="Times New Roman" w:cs="Times New Roman"/>
          <w:color w:val="000000"/>
        </w:rPr>
        <w:t>Supreme Court civil case number 10 of 1995. Having done that, the central issue, in my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for determination in the first ground of this appeal is which of the two parties was in breach of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contract?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answer to that pertinent question, in my view, lies on the express terms of both parties as stated in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Exhibits P1 and P2 as well as other evidence adduced during the trial. It is not in dispute that both parties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expressly stated in Exhibits P1 and P2 that the balance of the purchase price,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 would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paid to the respondent upon him procuring a special certificate of title. According to pleadings and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the appellant, PW1 that special certificate of title, </w:t>
      </w:r>
      <w:proofErr w:type="spellStart"/>
      <w:r>
        <w:rPr>
          <w:rFonts w:ascii="Times New Roman" w:hAnsi="Times New Roman" w:cs="Times New Roman"/>
          <w:color w:val="000000"/>
        </w:rPr>
        <w:t>annexture</w:t>
      </w:r>
      <w:proofErr w:type="spellEnd"/>
      <w:r>
        <w:rPr>
          <w:rFonts w:ascii="Times New Roman" w:hAnsi="Times New Roman" w:cs="Times New Roman"/>
          <w:color w:val="000000"/>
        </w:rPr>
        <w:t xml:space="preserve"> C, was obtained on 5 May 1998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 in the names of the respondent, though the responsibility to do so was squarely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hearing of the suit, the appellant admitted that the respondent was indebted to NPART. 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learnt of NPART debt with the respondent on 19 December 1997 the very day </w:t>
      </w:r>
      <w:r>
        <w:rPr>
          <w:rFonts w:ascii="Times New Roman" w:hAnsi="Times New Roman" w:cs="Times New Roman"/>
          <w:color w:val="000000"/>
        </w:rPr>
        <w:lastRenderedPageBreak/>
        <w:t>he deposited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650 000. He also went to NPART and learnt that the respondent had mortgaged land with them.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what the appellant said during re-examination: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learnt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Musonge’s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NPART debt when I paid the deposit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650 000. I went to NPART and I learnt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 had mortgaged land with them. NPART is not mentioned in the memorandum of sale”.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Besides, during cross-examination, the appellant stated thus: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Musonge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told me he had pledged property to NPART. He asked me to advance him money to offset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NPART debt. I did not advance him any money”.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next question is: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all the above evidence of admission by the appellant be considered alongside the express terms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stipulated in Exhibits P1 and P2?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answer to that question, in my view, lies on the provisions of section 91 and 92 of the Evidence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which read as follow: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“91. When the terms of a contract or of a grant, or of any other disposition of property, have been reduced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form of a document, and in all cases in which may matter is required by law to be reduced to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 of a document, no evidence, except as mentioned in section 79, shall be given in proof of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 of that contract, grant or other disposition of property, or of such matter except the document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itself, or secondary evidence of its contents in cases in which secondary evidence is admissible under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hereinabove before contained”.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“92 When the terms of any such contract, grant or other disposition of property, or any matter required by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to be reduce to the form of a document, have been proved according to section 91, no evidence of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oral agreement or statement shall be admitted, as between the parties to any such instrument 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representatives in interest, for the purpose of contradicting, varying, adding to or subtracting from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terms; but: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fact may be proved which would invalidate any document, or which would entitle any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to any decree or order relating thereto, such as fraud, intimidation, illegality, want of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execution, want of capacity in any contracting party, want or failure of consideration 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mistake in fact or law;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existence of any separate oral agreement as to any matter on which a document is silent, and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not inconsistent with its terms, may be proved. In considering whether or not this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applies, the Court shall have regard to the degree of formality of the document;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existence of any separate oral agreement, constituting a condition precedent to the attaching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obligation under any such contract, grant or disposition of property, may be proved;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existence of any distinct subsequent oral agreement to rescind or modify any such contract,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 or disposition or property may be proved, except in cases in which that contract, grant 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disposition of property is by law requited to be in writing or has been registered according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law in force for the time being as to the registration of documents;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usage or custom by which incidents not expressly mentioned in any contract are usually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annexed to contracts of that description may be proved it the annexing of the incident would not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repugnant to, or inconsistent with, the express terms of the contract;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any fact may be proved which shows in what manner the language of a document is related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existing facts”.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Clearly, the above provisions of section 91 and 92 of the Evidence Act, including the exceptions in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92, do not allow the admission of evidence adduced by PW1 during both cross-examination and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re-examination as part of the express terms stipulated in Exhibits P1 and P2 by both the appellant and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The admissibility of that evidence would, in my view, contradict, vary, add to or subtract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terms expressly stated in Exhibits P1 and P2. The procurement of a special certificate of title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condition precedent before the appellant could pay the balance of the purchase price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 to the respondent. As both parties did not specify a date on which to pay that balance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purchase price that alone distinguishes the present case from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Shariff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Osman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instalments were supposed to be paid on specific dates.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also clear from the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respondent never pleaded any oral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relating to NPART debt nor did he adduce any evidence to that effect. I would, therefore,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with counsel for the appellant that by relying on the NPART issue, the Learned Judge, with due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respect, had relied on an extraneous matter to the contract. The appellant, in my view, was and is </w:t>
      </w:r>
      <w:proofErr w:type="spellStart"/>
      <w:r>
        <w:rPr>
          <w:rFonts w:ascii="Times New Roman" w:hAnsi="Times New Roman" w:cs="Times New Roman"/>
          <w:color w:val="000000"/>
        </w:rPr>
        <w:t>no</w:t>
      </w:r>
      <w:proofErr w:type="spellEnd"/>
      <w:r>
        <w:rPr>
          <w:rFonts w:ascii="Times New Roman" w:hAnsi="Times New Roman" w:cs="Times New Roman"/>
          <w:color w:val="000000"/>
        </w:rPr>
        <w:t xml:space="preserve"> a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in default. He procured the special certificate of title on 5 May 1998 although he was not duty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bound to do so and he issued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balance of the purchase price which was rejected by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The first ground alone in my view, disposes off this appeal and I need not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remaining grounds of appeal. In the result, I would allow the appeal and grant the appellant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reliefs sought in the High Court with costs here and in the Court below.</w:t>
      </w:r>
      <w:r w:rsidR="004C241A">
        <w:rPr>
          <w:rFonts w:ascii="Times New Roman" w:hAnsi="Times New Roman" w:cs="Times New Roman"/>
          <w:color w:val="000000"/>
        </w:rPr>
        <w:t xml:space="preserve"> </w:t>
      </w:r>
    </w:p>
    <w:p w:rsidR="004C241A" w:rsidRDefault="004C241A" w:rsidP="004C24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D5B9B" w:rsidRDefault="003D5B9B" w:rsidP="004C24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BYAMUGISHA JA: </w:t>
      </w:r>
      <w:r>
        <w:rPr>
          <w:rFonts w:ascii="Times New Roman" w:hAnsi="Times New Roman" w:cs="Times New Roman"/>
          <w:color w:val="000000"/>
        </w:rPr>
        <w:t xml:space="preserve">I had the benefit of reading in draft form the lead judgment prepared by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JA. I agree with him that this appeal ought to succeed. However, I have my own remarks to make.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and the respondent herein, entered into a sale agreement on the 29December 1997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(Exhibit P2). It was for the sale of land comprised in </w:t>
      </w:r>
      <w:proofErr w:type="spellStart"/>
      <w:r>
        <w:rPr>
          <w:rFonts w:ascii="Times New Roman" w:hAnsi="Times New Roman" w:cs="Times New Roman"/>
          <w:color w:val="000000"/>
        </w:rPr>
        <w:t>Kibuga</w:t>
      </w:r>
      <w:proofErr w:type="spellEnd"/>
      <w:r>
        <w:rPr>
          <w:rFonts w:ascii="Times New Roman" w:hAnsi="Times New Roman" w:cs="Times New Roman"/>
          <w:color w:val="000000"/>
        </w:rPr>
        <w:t xml:space="preserve"> block 8 plot number 484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  <w:r>
        <w:rPr>
          <w:rFonts w:ascii="Times New Roman" w:hAnsi="Times New Roman" w:cs="Times New Roman"/>
          <w:color w:val="000000"/>
        </w:rPr>
        <w:t xml:space="preserve"> Estate in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Kampala District. The consideration was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million and the appellant paid a deposit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650 000. The balance of the </w:t>
      </w:r>
      <w:r>
        <w:rPr>
          <w:rFonts w:ascii="Times New Roman" w:hAnsi="Times New Roman" w:cs="Times New Roman"/>
          <w:color w:val="000000"/>
        </w:rPr>
        <w:lastRenderedPageBreak/>
        <w:t>purchase price was to be paid after a Special Certificate of Title have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issued and an instrument of transfer had been executed in favour of the appellant. The Special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Title was procured on or about the 5 May 1998 or thereabouts. On the 11 May 1998,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drew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in favour of the respondent for the balance of the purchase price.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rejected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allegedly because the appellant was in breach of the agreement of paying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balance of the purchase price by the 31 January 1998.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the appellant filed a suit against the respondent claiming a number of reliefs as contained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plaint. Before the hearing of the suit commenced, the appellant discovered that the respondent had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re-sold the land to a third party –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Goodways</w:t>
      </w:r>
      <w:proofErr w:type="spellEnd"/>
      <w:r>
        <w:rPr>
          <w:rFonts w:ascii="Times New Roman" w:hAnsi="Times New Roman" w:cs="Times New Roman"/>
          <w:color w:val="000000"/>
        </w:rPr>
        <w:t xml:space="preserve"> Trustees Ltd who had in turn lodged a caveat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Consequently an amended plaint was filed which averred fraud against both defendants.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 May 1999 the second defendant abandoned its claim over the suit property and removed its caveat.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against it was withdrawn by consent of both counsel and the allegations of fraud were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abandoned. The respondent in his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1 July 1998 averred that he was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pressure from NPART to settle a Uganda Commercial Bank loan. He further averred that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interfered with the process of procuring the Special Certificate of Title. In paragraph 8 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averred that the memorandum of sale was repudiated due to the appellant’s own conduct.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trial, the following were the agreed issues: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plaintiff or the defendant beached the contract for the sale of land in issue.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plaintiff is entitled to the remedies prayed for.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found that the appellant was in breach of the agreement of sale and he dismissed the suit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the instant appeal.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contains the following grounds: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failed to take into account the provisions of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sections 91 and 92 of the Evidence Act and/or wrongly relied on matters that were extraneous to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 contract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in that he wrongly relied on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unpleaded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and/or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unproved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and thereby wrongly dismissed the plaintiff’s suit.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in fact, having held that the plaintiff had established his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claim, he went on to hold that the respondent was entitled to rescind the contract, thereby contradicting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himself and wrongly dismissed the plaintiff’s suit.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in fact in that he failed to subject the evidence adduced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adequate and exhaustive scrutiny, and relied on mere speculation, thereby coming to the wrong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conclusion that the appellant was the party in default.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in fact that he misdirected himself about the nature and extent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appellant’s loss and the value of the suit land.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in fact that he proceeded to determine an issue, which had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expressly abandoned by the appellant, along with the prayers, based thereon.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proposed to ask the Court for the following orders: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appeal.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Setting aside the judgment and orders of the High Court and substituting thereof an order allowing the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appellant’s suit against the respondent.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Granting the appellant all the remedies prayed for in his submissions in the High Court.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Both counsel filed written submissions. From the submissions filed and on perusal of the evidence and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pleadings as a whole, I think one main issue emerged that is whether the trial Judge was right to rely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respondent’s alleged indebtedness to NPART (Non-Performing Assets Recovery Trust) instead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relying of the terms of the sale agreement.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submitting on this issue,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color w:val="000000"/>
        </w:rPr>
        <w:t>, learned counsel for the appellant, complained that the trial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placed too much reliance on extraneous matters and disregarded the terms of the contract. 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different passages in the judgment to illustrate this point. He pointed out that the provisions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91 and 92 of the Evidence Act were applicable to the facts of this appeal.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  <w:r>
        <w:rPr>
          <w:rFonts w:ascii="Times New Roman" w:hAnsi="Times New Roman" w:cs="Times New Roman"/>
          <w:color w:val="000000"/>
        </w:rPr>
        <w:t>, for the respondent supported the findings of the trial Judge. He stated that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aware of the respondent’s indebtedness to NPART and he stated so in cross-examination.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resolve the issue at hand, regard must be had to the provisions of the law that were cited by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and then determine whether they apply to the instant case. Section 91 states as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the terms of any such contract, grant or other disposition of property, or any matter required by law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reduced to the form of a document, and in all cases in which any matter is required by law to be reduced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form of a document, no evidence, except as mentioned in section 79, shall be given in proof of the terms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that contract, grant or other disposition of property, or of such matter except the document itself, 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secondary evidence of its contents in cases in which secondary evidence is admissible under the provisions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hereinbefore contained”.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substance of this section is that a contract in a form of a document, and any other matter that the law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requires to be reduced in a form of a document has to be proved by the production of the document itself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no extrinsic or parole evidence shall be given to prove its contents. The rule is sometimes based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“best evidence” principle sometimes on the doctrine of estoppel and sometimes on substantive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The contract for the sale of land </w:t>
      </w:r>
      <w:r>
        <w:rPr>
          <w:rFonts w:ascii="Times New Roman" w:hAnsi="Times New Roman" w:cs="Times New Roman"/>
          <w:color w:val="000000"/>
        </w:rPr>
        <w:lastRenderedPageBreak/>
        <w:t>was produced in court as Exhibit P2. Both parties signed it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 December 1997. Paragraph 5 of the agreement provided for the mode of paying the purchase price. It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as follows: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purchaser has paid to the vendor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650 000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six hundred fifty thousand) on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before the execution of these presents receipt whereof the vendor does hereby acknowledge.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purchaser will pay to the vendor the balance of the purchase price being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6 350 000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after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Special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Ccertificate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of Title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is now in process of preparation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issued </w:t>
      </w:r>
      <w:r>
        <w:rPr>
          <w:rFonts w:ascii="Times New Roman" w:hAnsi="Times New Roman" w:cs="Times New Roman"/>
          <w:color w:val="000000"/>
          <w:sz w:val="20"/>
          <w:szCs w:val="20"/>
        </w:rPr>
        <w:t>and an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instrument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transfer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property is duly executed in favour of the purchaser”.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supplied)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 did not mention the debt of NPART and the matter was not raised in the written statement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Therefore, the issue is whether the admission of parole evidence and its reliance by the trial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contravened the provisions of section 92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partly reads as follows: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the terms of any such contract, grant or other disposition of property, or any matter required by law to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reduced to the form of a document have been proved according to the last section, no evidence of any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agreement or statement shall be admitted, as between the parties to any such instrument or their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representative in interest, for the purpose of contradicting, varying, adding to, or subtracting from its terms: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but: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existence of any separate oral agreement as to any matter on which a document is silent, and which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not inconsistent with its terms, may be proved. In considering whether or not this paragraph applies,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shall have regard to the degree of formality of the document;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existence of any separate oral agreement, constituting a condition precedent to the attaching of any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obligation any such contract, grant or disposition of property, may be proved.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”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rationale for the exclusion rule is stated by </w:t>
      </w:r>
      <w:proofErr w:type="spellStart"/>
      <w:r>
        <w:rPr>
          <w:rFonts w:ascii="Times New Roman" w:hAnsi="Times New Roman" w:cs="Times New Roman"/>
          <w:color w:val="000000"/>
        </w:rPr>
        <w:t>Phipson</w:t>
      </w:r>
      <w:proofErr w:type="spellEnd"/>
      <w:r>
        <w:rPr>
          <w:rFonts w:ascii="Times New Roman" w:hAnsi="Times New Roman" w:cs="Times New Roman"/>
          <w:color w:val="000000"/>
        </w:rPr>
        <w:t xml:space="preserve"> on Evidence (14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at 1019 paragraph 37-12 to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when the parties have deliberately put their agreement into writing, it is conclusively presumed between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themselves and their privies that they intend the writing to form a full and final settlement of their intentions,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one which should be placed beyond the reach of future controversy, bad faith or treacherous memory”.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Jinabhai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v Eustace Sisal Estate Ltd </w:t>
      </w:r>
      <w:r>
        <w:rPr>
          <w:rFonts w:ascii="Times New Roman" w:hAnsi="Times New Roman" w:cs="Times New Roman"/>
          <w:color w:val="000000"/>
        </w:rPr>
        <w:t>[1967] EA 153 Spry JA at 160 stated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rule of exclusion in these words: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 general rule of interpretation that where there is an express provision in a contract, the Court will not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imply any provision relating to the same subject matter”.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Turner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Forwood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[1951] 1 All ER 746 Denning LJ at 749 said: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rule excluding parole evidence only applies when the parties set down in writing the terms agreed”.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language used in a document and the terms are clear and unambiguous, the duty of the Court is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give effect to the meaning of the words used.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presumption that when parties put what they have agreed upon in writing, they are bound or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to be bound by it. Therefore the terms agreed upon should be protected from unwarranted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disputes and alterations. The presumption can be rebutted in circumstances set out under the section.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no evidence was led by the respondent to show the exception set out under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section. The respondent’s letter of 14 May 1998 (Exhibit D2) set out what I would consider to be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precedent. They were: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 commissioned his lawyer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Kulumba-Kiyingi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ensure that the duplicate title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deed is processed and released before 30 January 1998.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 was permitted to buy the property by NPART provided he paid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million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14 February 1998 to enable the respondent to redeem his property, which was due for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auctioning on 14 February.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22 February he called the respondent to express his disappointment with his lawyer who had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taken practical steps in performing his obligation.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4 February the appellant rang the respondent stating that he had failed to raise 4 million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shillings.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12 February the appellant attempted to ring the respondent who told him that the deal was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terminated on 31 January 1998 and he (appellant) should come and collect his deposit.</w:t>
      </w:r>
      <w:r w:rsidR="004C241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trial, the appellant admitted that he knew about the respondent’s debt with NPART. He denied that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agreed to advance any money to the respondent. As I stated earlier, the respondent in his written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1 July 1998, did not raise the matters he raised in his letter of 14 May. This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 was written and probably backdated, after the appellant had tendered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balance of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purchase price. I think, with the greatest respect,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was wrong to rely on the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indebtedness to NPART to find that the appellant was in breach of the terms of the sale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 That piece of evidence varied and contradicted the clear terms of what the parties had agreed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in writing. I do not think the respondent would have kept quiet, if indeed the appellant had breached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terms of any oral agreement. The letter itself is full of contradictions. It states that the appellant was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to pay 4 million shillings by 14 February and at the same time, it states that the agreement was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terminated on the 30 January 1998. These matters were not raised in the pleadings and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did not address his mind to them.</w:t>
      </w:r>
      <w:r w:rsidR="004C24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allow the appeal in the terms proposed by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the appellant: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3D5B9B" w:rsidRDefault="003D5B9B" w:rsidP="003D5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3D5B9B" w:rsidP="003D5B9B">
      <w:proofErr w:type="spellStart"/>
      <w:r>
        <w:rPr>
          <w:rFonts w:ascii="Times New Roman" w:hAnsi="Times New Roman" w:cs="Times New Roman"/>
          <w:i/>
          <w:iCs/>
          <w:color w:val="000000"/>
        </w:rPr>
        <w:t>Kuguminkiriza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9B"/>
    <w:rsid w:val="0021070D"/>
    <w:rsid w:val="003D5B9B"/>
    <w:rsid w:val="004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C24F1-11E7-45E9-BDD9-9676650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4080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2018-07-04T12:40:00Z</dcterms:created>
  <dcterms:modified xsi:type="dcterms:W3CDTF">2018-07-13T14:10:00Z</dcterms:modified>
</cp:coreProperties>
</file>