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May 2004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61/04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Appeal – Right of appeal – Whether Court of Appeal had jurisdiction to hear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appeals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applications for revision – Section 361(7) – Criminal Procedure Code (Chapter 75).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Revision – Penalty of forfeiture ordered – Motor vehicle used to unlawfully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transport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forest produce forfeited – Whether Applicant had a right to be heard before forfeiture –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trial Magistrate had acted unlawfully in ordering forfeiture – Section 14(2) – Forests Act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385).</w:t>
      </w:r>
    </w:p>
    <w:p w:rsidR="00C678EE" w:rsidRDefault="00B25AD8" w:rsidP="00B25A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678EE" w:rsidRDefault="00C678EE" w:rsidP="00B25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 xml:space="preserve">James </w:t>
      </w:r>
      <w:proofErr w:type="spellStart"/>
      <w:r>
        <w:rPr>
          <w:rFonts w:ascii="Times New Roman" w:hAnsi="Times New Roman" w:cs="Times New Roman"/>
          <w:color w:val="000000"/>
        </w:rPr>
        <w:t>Okioga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Siungi</w:t>
      </w:r>
      <w:proofErr w:type="spellEnd"/>
      <w:r>
        <w:rPr>
          <w:rFonts w:ascii="Times New Roman" w:hAnsi="Times New Roman" w:cs="Times New Roman"/>
          <w:color w:val="000000"/>
        </w:rPr>
        <w:t xml:space="preserve"> and George </w:t>
      </w:r>
      <w:proofErr w:type="spellStart"/>
      <w:r>
        <w:rPr>
          <w:rFonts w:ascii="Times New Roman" w:hAnsi="Times New Roman" w:cs="Times New Roman"/>
          <w:color w:val="000000"/>
        </w:rPr>
        <w:t>Karigu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Gatonga</w:t>
      </w:r>
      <w:proofErr w:type="spellEnd"/>
      <w:r>
        <w:rPr>
          <w:rFonts w:ascii="Times New Roman" w:hAnsi="Times New Roman" w:cs="Times New Roman"/>
          <w:color w:val="000000"/>
        </w:rPr>
        <w:t xml:space="preserve"> were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the Magistrate’s Court with the offence of cutting and removing forest produce contrary to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as read with section 14(1)(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Forest Act (Chapter 385) Laws of Kenya.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particulars of the offence were stated in the charge sheet to be that on 30 August 20003, along </w:t>
      </w:r>
      <w:proofErr w:type="spellStart"/>
      <w:r>
        <w:rPr>
          <w:rFonts w:ascii="Times New Roman" w:hAnsi="Times New Roman" w:cs="Times New Roman"/>
          <w:color w:val="000000"/>
        </w:rPr>
        <w:t>Ragati</w:t>
      </w:r>
      <w:proofErr w:type="spellEnd"/>
      <w:r w:rsidR="00B25AD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road, in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District, within Central Province, they were found having cut and removed 70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pieces of camphor beams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196 000 using a motor vehicle registration number KMN 363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Nissan </w:t>
      </w:r>
      <w:proofErr w:type="spellStart"/>
      <w:r>
        <w:rPr>
          <w:rFonts w:ascii="Times New Roman" w:hAnsi="Times New Roman" w:cs="Times New Roman"/>
          <w:color w:val="000000"/>
        </w:rPr>
        <w:t>Camble</w:t>
      </w:r>
      <w:proofErr w:type="spellEnd"/>
      <w:r>
        <w:rPr>
          <w:rFonts w:ascii="Times New Roman" w:hAnsi="Times New Roman" w:cs="Times New Roman"/>
          <w:color w:val="000000"/>
        </w:rPr>
        <w:t xml:space="preserve"> without the authority of the Chief Conservator of Forests.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it transpired that the accused persons had been arrested at 3:30 am, that the timber in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belonged to James </w:t>
      </w:r>
      <w:proofErr w:type="spellStart"/>
      <w:r>
        <w:rPr>
          <w:rFonts w:ascii="Times New Roman" w:hAnsi="Times New Roman" w:cs="Times New Roman"/>
          <w:color w:val="000000"/>
        </w:rPr>
        <w:t>Siungi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the motor vehicle in question was being driven by George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Gatonga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Siungi</w:t>
      </w:r>
      <w:proofErr w:type="spellEnd"/>
      <w:r>
        <w:rPr>
          <w:rFonts w:ascii="Times New Roman" w:hAnsi="Times New Roman" w:cs="Times New Roman"/>
          <w:color w:val="000000"/>
        </w:rPr>
        <w:t xml:space="preserve"> maintained that the timber had been picked from his home and that he had bought it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various people. George </w:t>
      </w:r>
      <w:proofErr w:type="spellStart"/>
      <w:r>
        <w:rPr>
          <w:rFonts w:ascii="Times New Roman" w:hAnsi="Times New Roman" w:cs="Times New Roman"/>
          <w:color w:val="000000"/>
        </w:rPr>
        <w:t>Gatonga</w:t>
      </w:r>
      <w:proofErr w:type="spellEnd"/>
      <w:r>
        <w:rPr>
          <w:rFonts w:ascii="Times New Roman" w:hAnsi="Times New Roman" w:cs="Times New Roman"/>
          <w:color w:val="000000"/>
        </w:rPr>
        <w:t xml:space="preserve"> for his part stated in his unsworn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his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was for hire, that the co-accused came and told him they had work to be done, and that they went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picked the timber. He did not know it was illegal timber. On evaluating the evidence, the Senior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 Magistrate found the accused persons guilty as charged and duly convicted them. He fined each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and, in default, three months imprisonment. The court also ordered that the motor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involved be forfeited to the State. Those orders were made on 18 November 2003. None of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appealed against either conviction or sentence to the High Court.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letter dated 3 December 2003 and filed in court on 4 December 2003,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Peter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Muthoni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advocate, moved the High Court on behalf of one Joseph </w:t>
      </w:r>
      <w:proofErr w:type="spellStart"/>
      <w:r>
        <w:rPr>
          <w:rFonts w:ascii="Times New Roman" w:hAnsi="Times New Roman" w:cs="Times New Roman"/>
          <w:color w:val="000000"/>
        </w:rPr>
        <w:t>Kabuchwa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Muya</w:t>
      </w:r>
      <w:proofErr w:type="spellEnd"/>
      <w:r>
        <w:rPr>
          <w:rFonts w:ascii="Times New Roman" w:hAnsi="Times New Roman" w:cs="Times New Roman"/>
          <w:color w:val="000000"/>
        </w:rPr>
        <w:t xml:space="preserve"> to revise the order of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forfeiture. In the letter, he complained that motor vehicle KMN 363 belonged to his client who was not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accused person in the case. The revision was sought on the ground that the Applicant was not given a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chance to make his representations to the trial court as to whether or not the offending driver was his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 of not. It was contended that the provisions of section 14 of the Forest Act were not complied with.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to the letter were the charge sheet and proceedings of the Magistrate’s Court, a logbook and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for sale. The file was placed before Lady Justice H M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who on 24 February 2004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ruled as follows: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perused the record of the lower court but find no illegality, impropriety or irregularity in the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as would justify intervention under section 364 of the Criminal Procedure Code. The trial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 was satisfied that motor vehicle KMN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363 was used to transport timber illegally procured from the forest. That was the basis for the order of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forfeiture of the motor vehicle. The person now claiming ownership of the motor vehicle does not feature in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proceedings, alleged owner’s name not in the logbook. This is not a case appropriate for revision”.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(who is the Appellant in the appeal) now appeals against that order to this Court.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of the grounds of appeal and the arguments advanced before us was that the Learned Judge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law and in fact in failing to exercise her powers of revision of reversal of the forfeiture order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record of the trial court disclosed that: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Appellant was not accorded a chance by the trial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make his representations on whether the offending driver was his agent or not in flagrant beach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provisions of section 14(2)(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Forest Act, a glaring impropriety, irregularity or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 on the face of the record warranting revision; and (ii) the Appellant was not an accused person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condemned unheard.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further complained that the Judge misdirected herself in finding that the motor vehicle did not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belong to the Appellant simply because his </w:t>
      </w:r>
      <w:r>
        <w:rPr>
          <w:rFonts w:ascii="Times New Roman" w:hAnsi="Times New Roman" w:cs="Times New Roman"/>
          <w:color w:val="000000"/>
        </w:rPr>
        <w:lastRenderedPageBreak/>
        <w:t>name was not in the logbook while the issue of ownership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disputed. It was further complained that the Judge erred in fact and in law in not finding that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for forfeiture of the vehicle was harsh, punitive and unsustainable in law as the Appellant was not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at all.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section 14(2)(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Forests Act provides as follows: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 (2) Where a person is convicted of an offence whereby forest produce has been damaged or injured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removed, the Court shall, in addition to any other penalty, order that person: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pay to the Director of Forestry by way of compensation the value of the forest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produce so damaged, or injured or removed; and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If it is proved to the satisfaction of the Court that the person convicted is the agent or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 of another person, the Court may order that other person pay the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unless, after hearing that the offence was not due to his neglect or default.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forest produce removed and any tools or implements used in the commission of the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 be forfeited to the Chief Conservator of Forests”.</w:t>
      </w:r>
      <w:r w:rsidR="00B25A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our understanding of the above provisions of law, the Court is in addition to any other penalty entitled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an order of compensation and/or an order of forfeiture. The order of compensation may be made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Director of Forestry to compensate for the value of the produce injured, damaged or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removed. Such order may be made against the accused person or, where it is shown in evidence that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an employee or agent of some other person, it may be made against that other person unless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shows that the offence was committed without his neglect or default. The order of compensation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made against a person other than the accused unless he has been given an opportunity to show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the offence was committed without his neglect or default. No order of compensation was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this case and the Appellant cannot be heard to complain that the provisions of paragraph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(2) were contravened in relation to him. The order which was made here was for forfeiture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paragraph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There is no requirement under that provision that any person be heard before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tools or implements used in the commission of the offence are ordered forfeited. We think that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Advocate misapprehended the provisions of section 14(2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(c) of the Forests Act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made a misconceived request for revision. In our considered view, the proceedings before the trial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did not disclose any illegality, impropriety, or irregularity in the order of forfeiture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made and the Learned Judge of the High Court correctly declined to make any orders in revision.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this appeal, we sought to know from counsel for the Appellant whether we had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hear an appeal from an order made in the exercise of the revisionary jurisdiction of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Although counsel for the Appellant wavered in his answer and counsel for the Republic took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there was no right of appeal, we have after careful scrutiny of the provisions of section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361(7) of the Criminal Procedure Code (Chapter 75) of the Laws of Kenya, come to the conclusion that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had jurisdiction to entertain the appeal. The provision is to the effect that an order made by the High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the exercise of revisionary jurisdiction shall be deemed to be a decision of the High Court in its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jurisdiction. Accordingly, the decision of the High Court in this case was appealable to this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on a matter of law.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of this matter is that having found that the Learned Judge did not err in law in making the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that was made in revision, and that it is the Appellant who misapprehended the pertinent provisions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Forests Act upon which he predicated his application for revision, we are compelled to dismiss this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B25A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so dismissed.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Peter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C678EE" w:rsidRDefault="00C678EE" w:rsidP="00C6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C678EE" w:rsidP="00C678EE">
      <w:r>
        <w:rPr>
          <w:rFonts w:ascii="Times New Roman" w:hAnsi="Times New Roman" w:cs="Times New Roman"/>
          <w:color w:val="000000"/>
        </w:rPr>
        <w:t>Attorney-General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EE"/>
    <w:rsid w:val="00575C55"/>
    <w:rsid w:val="00B25AD8"/>
    <w:rsid w:val="00C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087E-BBB9-4178-9B90-7BE54EA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2018-07-04T18:00:00Z</dcterms:created>
  <dcterms:modified xsi:type="dcterms:W3CDTF">2018-07-13T14:12:00Z</dcterms:modified>
</cp:coreProperties>
</file>