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Mwangi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Republic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November 1974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79/1973 (120/74)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Musoka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Simpson and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>, JJ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Minor offence – Unlawful conversion of vehicle – A complete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minor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offence in relation to robbery – Criminal procedure Code s. </w:t>
      </w:r>
      <w:r>
        <w:rPr>
          <w:rFonts w:ascii="Times New Roman" w:hAnsi="Times New Roman" w:cs="Times New Roman"/>
          <w:color w:val="000000"/>
        </w:rPr>
        <w:t>179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Witness – Hostile – Evidence admissible but of little value – Might cast doubt on guilt.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course of the appellant’s appeal it was contended that the offence of unlawful conversion of a</w:t>
      </w:r>
      <w:r w:rsidR="003A24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 was not a lesser cognate offence to robbery, and that evidence of a hostile witness should be</w:t>
      </w:r>
      <w:r w:rsidR="003A24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treated differently when it supported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3A24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contended that the evidence of a hostile witness should be treated differently when it</w:t>
      </w:r>
      <w:r w:rsidR="003A24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supported th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The respondent contended that the evidence of a hostile witness is negligible</w:t>
      </w:r>
      <w:r w:rsidR="003A24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whoever it supports.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unlawful</w:t>
      </w:r>
      <w:proofErr w:type="gramEnd"/>
      <w:r>
        <w:rPr>
          <w:rFonts w:ascii="Times New Roman" w:hAnsi="Times New Roman" w:cs="Times New Roman"/>
          <w:color w:val="000000"/>
        </w:rPr>
        <w:t xml:space="preserve"> conversion of a vehicle is a lesser cognate offence to robbery;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evidence of a hostile witness is admissible although generally of little value;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conviction could not be founded on such evidence;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nevertheless</w:t>
      </w:r>
      <w:proofErr w:type="gramEnd"/>
      <w:r>
        <w:rPr>
          <w:rFonts w:ascii="Times New Roman" w:hAnsi="Times New Roman" w:cs="Times New Roman"/>
          <w:color w:val="000000"/>
        </w:rPr>
        <w:t xml:space="preserve"> it is possible that some part of such evidence might be truthful and, if this cast doubt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guilt, the court could acquit.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Leonard Harris </w:t>
      </w:r>
      <w:r>
        <w:rPr>
          <w:rFonts w:ascii="Times New Roman" w:hAnsi="Times New Roman" w:cs="Times New Roman"/>
          <w:color w:val="000000"/>
        </w:rPr>
        <w:t>(1927), 20 Cr. App. R. 144.</w:t>
      </w:r>
    </w:p>
    <w:p w:rsidR="00BF25C5" w:rsidRDefault="00BF25C5" w:rsidP="00BF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R. v. Golder</w:t>
      </w:r>
      <w:r>
        <w:rPr>
          <w:rFonts w:ascii="Times New Roman" w:hAnsi="Times New Roman" w:cs="Times New Roman"/>
          <w:color w:val="000000"/>
        </w:rPr>
        <w:t>, [1960] 1 W.L.R. 1169.</w:t>
      </w:r>
    </w:p>
    <w:p w:rsidR="003278A0" w:rsidRDefault="00BF25C5" w:rsidP="00BF25C5"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Alowo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[1972] E.A. 324.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C5"/>
    <w:rsid w:val="003278A0"/>
    <w:rsid w:val="003A24FC"/>
    <w:rsid w:val="00B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B544F-BBBD-4BA8-86B8-C4ED3B2E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2018-07-06T12:02:00Z</dcterms:created>
  <dcterms:modified xsi:type="dcterms:W3CDTF">2018-07-13T14:16:00Z</dcterms:modified>
</cp:coreProperties>
</file>