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8D1" w:rsidRDefault="001958D1" w:rsidP="0019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Mwangi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Republic</w:t>
      </w:r>
    </w:p>
    <w:p w:rsidR="001958D1" w:rsidRDefault="001958D1" w:rsidP="0019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1958D1" w:rsidRDefault="001958D1" w:rsidP="0019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November 1974</w:t>
      </w:r>
    </w:p>
    <w:p w:rsidR="001958D1" w:rsidRDefault="001958D1" w:rsidP="0019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79/1973 (120/74)</w:t>
      </w:r>
    </w:p>
    <w:p w:rsidR="001958D1" w:rsidRDefault="001958D1" w:rsidP="0019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Law Ag V-P and </w:t>
      </w:r>
      <w:proofErr w:type="spellStart"/>
      <w:r>
        <w:rPr>
          <w:rFonts w:ascii="Times New Roman" w:hAnsi="Times New Roman" w:cs="Times New Roman"/>
          <w:color w:val="000000"/>
        </w:rPr>
        <w:t>Musoka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1958D1" w:rsidRDefault="001958D1" w:rsidP="0019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958D1" w:rsidRDefault="001958D1" w:rsidP="0019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Kenya – Simpson and </w:t>
      </w:r>
      <w:proofErr w:type="spellStart"/>
      <w:r>
        <w:rPr>
          <w:rFonts w:ascii="Times New Roman" w:hAnsi="Times New Roman" w:cs="Times New Roman"/>
          <w:color w:val="000000"/>
        </w:rPr>
        <w:t>Muli</w:t>
      </w:r>
      <w:proofErr w:type="spellEnd"/>
      <w:r>
        <w:rPr>
          <w:rFonts w:ascii="Times New Roman" w:hAnsi="Times New Roman" w:cs="Times New Roman"/>
          <w:color w:val="000000"/>
        </w:rPr>
        <w:t>, JJ</w:t>
      </w:r>
    </w:p>
    <w:p w:rsidR="001958D1" w:rsidRDefault="001958D1" w:rsidP="0019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Minor offence – Unlawful conversion of vehicle – A complete</w:t>
      </w:r>
    </w:p>
    <w:p w:rsidR="001958D1" w:rsidRDefault="001958D1" w:rsidP="0019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minor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offence in relation to robbery – Criminal procedure Code s. </w:t>
      </w:r>
      <w:r>
        <w:rPr>
          <w:rFonts w:ascii="Times New Roman" w:hAnsi="Times New Roman" w:cs="Times New Roman"/>
          <w:color w:val="000000"/>
        </w:rPr>
        <w:t>179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1958D1" w:rsidRDefault="001958D1" w:rsidP="0019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Witness – Hostile – Evidence admissible but of little value – Might cast doubt on guilt.</w:t>
      </w:r>
    </w:p>
    <w:p w:rsidR="001958D1" w:rsidRDefault="00624A1B" w:rsidP="00624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958D1" w:rsidRDefault="001958D1" w:rsidP="00624A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considered judgment of the court was read by </w:t>
      </w:r>
      <w:r>
        <w:rPr>
          <w:rFonts w:ascii="Times New Roman" w:hAnsi="Times New Roman" w:cs="Times New Roman"/>
          <w:b/>
          <w:bCs/>
          <w:color w:val="000000"/>
        </w:rPr>
        <w:t xml:space="preserve">Spry Ag P: </w:t>
      </w:r>
      <w:r>
        <w:rPr>
          <w:rFonts w:ascii="Times New Roman" w:hAnsi="Times New Roman" w:cs="Times New Roman"/>
          <w:color w:val="000000"/>
        </w:rPr>
        <w:t>The three appellants were, with others,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charged in the court of the resident magistrate at Nairobi on two counts of robbery with violence,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s. 296 (2) of the Penal Code. On the first count, they were found not guilty of robbery but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guilty of the unlawful conversion of a motor vehicle, an offence under s. 294 of the Penal Code. They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found guilty on the second count. They were convicted and each was sentenced to six months’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imprisonment on the first count and twenty years’ imprisonment with hard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and thirty strokes of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corporal punishment on the second.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appealed to the High Court, but their appeals were dismissed.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6 November 1974 we heard and dismissed their appeals. We were fully satisfied that there were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grounds which would justify us, on a second appeal, interfering either with the convictions or the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sentences.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[The court considered the case against the appellants and continued.]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Certain questions raised by Mr.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>, who appeared for all three appellants, require further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attention.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first count, Mr.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submitted that it was wrong in law, on a charge of robbery, for the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to have invoked s. 179 of the Criminal Procedure Code and convicted of unlawful conversion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 vehicle, as a lesser, cognate, offence. With respect, we saw no merit in this submission. Robbery is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aggravated form of stealing, with the additional element of actual or threatened violence. Stealing is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unlawful taking of anything with intent permanently to deprive the owner of it. The offence created by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294 of the Penal Code is committed by an unlawful taking without that intent. The offence created by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294 is therefore constituted by one of the essential elements of robbery: we think the offence is clearly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minor and cognate to robbery.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second count, Mr.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complained that the magistrate had not expressly considered the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a witness who was treated as hostile, but whose evidence, if believed, might have tended to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 that the offence committed was simple theft, not robbery, because of connivance on the part of the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bank official concerned. Mr.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suggested that the evidence of a hostile witness should be treated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differently where it supported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from where it supported the prosecution. Mr. </w:t>
      </w:r>
      <w:proofErr w:type="spellStart"/>
      <w:r>
        <w:rPr>
          <w:rFonts w:ascii="Times New Roman" w:hAnsi="Times New Roman" w:cs="Times New Roman"/>
          <w:color w:val="000000"/>
        </w:rPr>
        <w:t>Sehmi</w:t>
      </w:r>
      <w:proofErr w:type="spellEnd"/>
      <w:r>
        <w:rPr>
          <w:rFonts w:ascii="Times New Roman" w:hAnsi="Times New Roman" w:cs="Times New Roman"/>
          <w:color w:val="000000"/>
        </w:rPr>
        <w:t>, who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appeared for the Republic, submitted that a hostile witness is one who has been shown to be unreliable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evidential value of whose testimony is therefore negligible. He submitted that it was immaterial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whether that testimony </w:t>
      </w:r>
      <w:proofErr w:type="spellStart"/>
      <w:r>
        <w:rPr>
          <w:rFonts w:ascii="Times New Roman" w:hAnsi="Times New Roman" w:cs="Times New Roman"/>
          <w:color w:val="000000"/>
        </w:rPr>
        <w:t>favoured</w:t>
      </w:r>
      <w:proofErr w:type="spellEnd"/>
      <w:r>
        <w:rPr>
          <w:rFonts w:ascii="Times New Roman" w:hAnsi="Times New Roman" w:cs="Times New Roman"/>
          <w:color w:val="000000"/>
        </w:rPr>
        <w:t xml:space="preserve"> the prosecution or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may say at once that we are satisfied that in the present case the magistrate acted entirely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properly. He only found the witness hostile after due consideration; he referred in his judgment to the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 of the evidence being negligible and he went on, almost immediately, to consider the issue in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relation to which that evidence was relevant. Although he did not expressly refer to the evidence in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relation to the issue, we are satisfied that he must have had it in mind.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The question raised by Mr.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is, however, one of general importance.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Alowo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</w:t>
      </w:r>
      <w:r>
        <w:rPr>
          <w:rFonts w:ascii="Times New Roman" w:hAnsi="Times New Roman" w:cs="Times New Roman"/>
          <w:color w:val="000000"/>
        </w:rPr>
        <w:t>,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[1972] E.A. 324, this court said: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basis of leave to treat a witness as hostile is that the conflict between the evidence which the witness is</w:t>
      </w:r>
      <w:r w:rsidR="00624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giving and some earlier statement shows him or her to be unreliable, and this makes his or her evidence</w:t>
      </w:r>
      <w:r w:rsidR="00624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negligible.”</w:t>
      </w:r>
      <w:r w:rsidR="00624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Reference was made in that case to two English cases, </w:t>
      </w:r>
      <w:r>
        <w:rPr>
          <w:rFonts w:ascii="Times New Roman" w:hAnsi="Times New Roman" w:cs="Times New Roman"/>
          <w:i/>
          <w:iCs/>
          <w:color w:val="000000"/>
        </w:rPr>
        <w:t xml:space="preserve">Leonard Harris </w:t>
      </w:r>
      <w:r>
        <w:rPr>
          <w:rFonts w:ascii="Times New Roman" w:hAnsi="Times New Roman" w:cs="Times New Roman"/>
          <w:color w:val="000000"/>
        </w:rPr>
        <w:t xml:space="preserve">(1927), 20 Cr. App. R. 144 and </w:t>
      </w:r>
      <w:r>
        <w:rPr>
          <w:rFonts w:ascii="Times New Roman" w:hAnsi="Times New Roman" w:cs="Times New Roman"/>
          <w:i/>
          <w:iCs/>
          <w:color w:val="000000"/>
        </w:rPr>
        <w:t>R.</w:t>
      </w:r>
      <w:r w:rsidR="00624A1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v. Golder</w:t>
      </w:r>
      <w:r>
        <w:rPr>
          <w:rFonts w:ascii="Times New Roman" w:hAnsi="Times New Roman" w:cs="Times New Roman"/>
          <w:color w:val="000000"/>
        </w:rPr>
        <w:t>, [1960] 1 W.L.R. 1169. In those cases, the evidence of a hostile witness was described as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“negligible” and “unreliable” respectively, and in the former, reference was made with approval to the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then current edition of </w:t>
      </w:r>
      <w:proofErr w:type="spellStart"/>
      <w:r>
        <w:rPr>
          <w:rFonts w:ascii="Times New Roman" w:hAnsi="Times New Roman" w:cs="Times New Roman"/>
          <w:color w:val="000000"/>
        </w:rPr>
        <w:t>Archbold</w:t>
      </w:r>
      <w:proofErr w:type="spellEnd"/>
      <w:r>
        <w:rPr>
          <w:rFonts w:ascii="Times New Roman" w:hAnsi="Times New Roman" w:cs="Times New Roman"/>
          <w:color w:val="000000"/>
        </w:rPr>
        <w:t>, in which it was said that where the earlier statement was unsworn, the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“should not have much weight” and where the earlier statement was made by the witness on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oath, the contradiction “is almost conclusive against his credibility”.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Again,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Batala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Uganda</w:t>
      </w:r>
      <w:r>
        <w:rPr>
          <w:rFonts w:ascii="Times New Roman" w:hAnsi="Times New Roman" w:cs="Times New Roman"/>
          <w:color w:val="000000"/>
        </w:rPr>
        <w:t>, [1974] E.A. 402 this Court said at p. 405: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giving of leave to treat a witness as hostile is equivalent to a finding that the witness is unreliable. It</w:t>
      </w:r>
      <w:r w:rsidR="00624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enables the party calling the witness to cross-examine him and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destroy his evidence. If a witness is unreliable,</w:t>
      </w:r>
      <w:r w:rsidR="00624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none of his evidence can be relied on, whether given before or after he was treated as hostile, and it can be</w:t>
      </w:r>
      <w:r w:rsidR="00624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given little, if any, weight.”</w:t>
      </w:r>
      <w:r w:rsidR="00624A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All these cases show that the fact that a witness is declared hostile is a matter that goes to the weight or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value to be attached to his evidence. The position is entirely different from that where evidence is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inadmissible. Such evidence cannot be looked at for any purpose. The evidence of a hostile witness is, on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other hand, evidence in the case, although generally of little value. Obviously no court could found a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 on the evidence of a hostile witness, because his unreliability must itself introduce an element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reasonable doubt. On the other hand, in a particular case, the trial magistrate or judge may believe a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hostile witness to have been truthful in some part of his evidence, particularly if he has been consistent as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regards that part of his evidence and if it is easily severed from the part where he has been inconsistent. If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effect of evidence so believed is to cast a serious doubt on the guilt of the accused person, the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or judge would be justified in relying on it to acquit. However, as we have said, that does not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arise here.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of the accomplice witness concerned the planning of the crime. According to him, the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initial project was to steal money from the railways. During the trial, objection was taken to this evidence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magistrate ruled it inadmissible. In this, we think, with respect, that he was wrong. We think that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evidence as to the planning and preparation for the crime was relevant and it makes no difference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plan was changed from time to time. Mr.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objected to a reference to this evidence in the</w:t>
      </w:r>
      <w:r w:rsidR="00624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magistrate’s judgment but since we thought the evidence was properly admissible under s. 8 of the</w:t>
      </w:r>
    </w:p>
    <w:p w:rsidR="001958D1" w:rsidRDefault="001958D1" w:rsidP="0019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 Act, it followed that this objection failed.</w:t>
      </w:r>
    </w:p>
    <w:p w:rsidR="001958D1" w:rsidRDefault="001958D1" w:rsidP="0019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dismissed.</w:t>
      </w:r>
    </w:p>
    <w:p w:rsidR="001958D1" w:rsidRDefault="001958D1" w:rsidP="0019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1958D1" w:rsidRDefault="001958D1" w:rsidP="0019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Otieno</w:t>
      </w:r>
      <w:proofErr w:type="spellEnd"/>
    </w:p>
    <w:p w:rsidR="001958D1" w:rsidRDefault="001958D1" w:rsidP="0019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1958D1" w:rsidRDefault="001958D1" w:rsidP="0019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Sehmi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(Senior State Counsel)</w:t>
      </w:r>
    </w:p>
    <w:p w:rsidR="003278A0" w:rsidRDefault="003278A0"/>
    <w:sectPr w:rsidR="003278A0" w:rsidSect="00A950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D1"/>
    <w:rsid w:val="001958D1"/>
    <w:rsid w:val="003278A0"/>
    <w:rsid w:val="0062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EC34E-A009-4CBD-A575-50833ACB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2018-07-06T12:03:00Z</dcterms:created>
  <dcterms:modified xsi:type="dcterms:W3CDTF">2018-07-13T14:17:00Z</dcterms:modified>
</cp:coreProperties>
</file>