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Mwayi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February 2006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32/03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Katureebe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Scrutiny of the evidence adduced at trial –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Court of Appeal had adequately re-evaluated the evidence.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Murder – Burden of proof – Whether the prosecution had proved its case – Sections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183 and 184 – Penal Code Act.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Alibi – Common intention – Whether the prosecution had disproved the appellants’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alibis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there was common intention among the appellants.</w:t>
      </w:r>
    </w:p>
    <w:p w:rsidR="00E31513" w:rsidRDefault="008B7D8D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31513" w:rsidRDefault="00E31513" w:rsidP="008B7D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Karokora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Mulenga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Kanyeihamba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Katureebe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JJSC: </w:t>
      </w:r>
      <w:r>
        <w:rPr>
          <w:rFonts w:ascii="Times New Roman" w:hAnsi="Times New Roman" w:cs="Times New Roman"/>
          <w:color w:val="000000"/>
        </w:rPr>
        <w:t>The appellants were indicted, tried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convicted of murder, contrary to sections 183 and 184 of the Penal Code and were each sentenced to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death. Their appeal to the Court of Appeal were dismissed. Hence this appeal.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Through their counsel, the appellants filed separate memoranda of appeal and have, at different times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appearing in court, been represented by different counsel. The substance of their respective joint and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several grounds of appeal is that the Court of Appeal erred both in law and fact to confirm the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convictions and sentences of the appellants.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Sekabojja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represented the first appellant.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Kafuko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represented the second appellant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8B7D8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Ddamulir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Muguluma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represented the third and fourth appellants.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Vicent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Okwonga</w:t>
      </w:r>
      <w:proofErr w:type="spellEnd"/>
      <w:r>
        <w:rPr>
          <w:rFonts w:ascii="Times New Roman" w:hAnsi="Times New Roman" w:cs="Times New Roman"/>
          <w:color w:val="000000"/>
        </w:rPr>
        <w:t>, Principal State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Attorney represented the respondent.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addressed court fully on what they considered to be the errors in the findings and decisions of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Appeal. In our view, the issues which the respective submissions and arguments of counsel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 and which call for resolution include that court’s failure first, to address and consider adequately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appellants’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of alibi, especially in light of our observations in </w:t>
      </w:r>
      <w:r>
        <w:rPr>
          <w:rFonts w:ascii="Times New Roman" w:hAnsi="Times New Roman" w:cs="Times New Roman"/>
          <w:i/>
          <w:iCs/>
          <w:color w:val="000000"/>
        </w:rPr>
        <w:t xml:space="preserve">Moses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</w:t>
      </w:r>
      <w:r>
        <w:rPr>
          <w:rFonts w:ascii="Times New Roman" w:hAnsi="Times New Roman" w:cs="Times New Roman"/>
          <w:color w:val="000000"/>
        </w:rPr>
        <w:t>,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criminal appeal number 1 of 1997 (SC) (UR). Secondly, the court failed to properly evaluate or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reevaluate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evidence as a whole. Thirdly, the Court of Appeal erred in law and fact in holding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a common intention between the appellants. According to counsel, the prosecution failed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prove that there was common intention amongst the appellants to murder the deceased. Counsel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further that the evidence about the weapons used to kill the deceased which was about bricks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wood was at best inconclusive. Therefore, counsel contended that on that basis, the appellants should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given the benefit of the doubt.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Okwonga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supported the convictions of the appellants and found no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fault in the way the courts below handled the evidence and applied the law. He contended that there was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evidence to convict the four appellants.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heard counsel for the appellants and the respondent and perused the record of proceedings, we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agree with the learned Justices of Appeal that the trial court erred in failing to consider the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alibi and the issue of a grudge pleaded by some of the appellants. We note however that the Court of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being the first appellate court dealt with the two matters complained of under rule 29 of its rules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found that there was no merit in the allegation of the grudge while on the alibis, the learned Justices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Appeal themselves </w:t>
      </w:r>
      <w:proofErr w:type="spellStart"/>
      <w:r>
        <w:rPr>
          <w:rFonts w:ascii="Times New Roman" w:hAnsi="Times New Roman" w:cs="Times New Roman"/>
          <w:color w:val="000000"/>
        </w:rPr>
        <w:t>scrutinised</w:t>
      </w:r>
      <w:proofErr w:type="spellEnd"/>
      <w:r>
        <w:rPr>
          <w:rFonts w:ascii="Times New Roman" w:hAnsi="Times New Roman" w:cs="Times New Roman"/>
          <w:color w:val="000000"/>
        </w:rPr>
        <w:t xml:space="preserve"> the whole evidence of both the appellants and respondents and came to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own conclusion that the alibis had been disproved by the prosecution.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are satisfied that the appellants were rightly convicted. In our view, there was ample evidence for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court to convict the appellants. We are satisfied that the learned Justices of Appeal judiciously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and resolved correctly all the issues concerning this case and were right to uphold the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convictions of the appellants.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find no merit in any of the grounds of appeal advanced by counsel for each of the appellants.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Accordingly, these appeals are dismissed. We confirm the convictions of the appellants for murder.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However, in conformity with our decision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Zahura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</w:t>
      </w:r>
      <w:r>
        <w:rPr>
          <w:rFonts w:ascii="Times New Roman" w:hAnsi="Times New Roman" w:cs="Times New Roman"/>
          <w:color w:val="000000"/>
        </w:rPr>
        <w:t>[2004] LLR 436 (SCU) we postpone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confirmation of the death sentences under article 22 of the Constitution until the determination of the</w:t>
      </w:r>
      <w:r w:rsidR="008B7D8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against the decision of the Constitutional Court in constitutional petition number 6 of 2003.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For the first appellant: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Sekabojja</w:t>
      </w:r>
      <w:proofErr w:type="spellEnd"/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second appellant: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Kafuko</w:t>
      </w:r>
      <w:proofErr w:type="spellEnd"/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third and fourth appellants:</w:t>
      </w:r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Ddamulir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Muguluma</w:t>
      </w:r>
      <w:proofErr w:type="spellEnd"/>
    </w:p>
    <w:p w:rsidR="00E31513" w:rsidRDefault="00E31513" w:rsidP="00E315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E31513" w:rsidP="00E31513"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Vicent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Okwonga</w:t>
      </w:r>
      <w:proofErr w:type="spellEnd"/>
      <w:r>
        <w:rPr>
          <w:rFonts w:ascii="Times New Roman" w:hAnsi="Times New Roman" w:cs="Times New Roman"/>
          <w:color w:val="000000"/>
        </w:rPr>
        <w:t>, Principal State Attorney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13"/>
    <w:rsid w:val="008B7D8D"/>
    <w:rsid w:val="00AB7022"/>
    <w:rsid w:val="00E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2BF92-BF72-42AF-A9CE-B6250FE8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2018-07-05T06:54:00Z</dcterms:created>
  <dcterms:modified xsi:type="dcterms:W3CDTF">2018-07-13T16:19:00Z</dcterms:modified>
</cp:coreProperties>
</file>