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Mwesiga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Nuti</w:t>
      </w:r>
      <w:proofErr w:type="spellEnd"/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15 December 2003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63/01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Court of Appeal – Time – Extension of time – Incompetent application – Whether court had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discretion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extend time to a lay party to lodge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compliant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application – Rules 3(2)(b), 10 and 43(b)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of Appeal Rules (Tanzania).</w:t>
      </w:r>
    </w:p>
    <w:p w:rsidR="00FD562D" w:rsidRDefault="004B7FDF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D562D" w:rsidRDefault="00FD562D" w:rsidP="004B7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MUNUO JA: </w:t>
      </w:r>
      <w:r>
        <w:rPr>
          <w:rFonts w:ascii="Times New Roman" w:hAnsi="Times New Roman" w:cs="Times New Roman"/>
          <w:color w:val="000000"/>
        </w:rPr>
        <w:t xml:space="preserve">The learned advocate 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 notice of preliminary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dated the 19 June 2002 on the ground that: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application is hopelessly time barred and thus offends rule 43(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Tanzania Court of Appeal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Rules, 1979.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application is incompetent for the same reason that it has been filed under wrong provisions of the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and indeed offends rule 10 of the Tanzania Court of Appeal Rules, 1979.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Asserting the facts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to the counter-affidavit of the respondent, counsel for the applicant observes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probate and administration cause number 20 of 1994 was determined on the 27 May 1999 as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evidenced by annexure A to the counter-affidavit. Thereafter the applicant unsuccessfully lodged a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 application, that is, miscellaneous civil application number 128 of 2000 in the High Court of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-Salaam before </w:t>
      </w:r>
      <w:proofErr w:type="spellStart"/>
      <w:r>
        <w:rPr>
          <w:rFonts w:ascii="Times New Roman" w:hAnsi="Times New Roman" w:cs="Times New Roman"/>
          <w:color w:val="000000"/>
        </w:rPr>
        <w:t>Bubeshi</w:t>
      </w:r>
      <w:proofErr w:type="spellEnd"/>
      <w:r>
        <w:rPr>
          <w:rFonts w:ascii="Times New Roman" w:hAnsi="Times New Roman" w:cs="Times New Roman"/>
          <w:color w:val="000000"/>
        </w:rPr>
        <w:t xml:space="preserve"> J. Hence the present application for extension of time to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decision in probate and administration cause number 20 of 1994. However, as the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of the respondent pointed out, the notice of motion was wrongly brought under rule 46(3), it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have been instituted under rule 43(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Rules which provides.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“43(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Where an appeal lies within the leave of the Court, application for leave shall be made in the manner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prescribed in rules 46 and 47 within fourteen days of the decision against which it is desired to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or, where application for leave to appeal has been made to the High Court and refused, within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fourteen days of that refusal.”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 of the respondent contended that the present application is time barred because the High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rejected miscellaneous civil application number 128 of 2000 because it was time barred. He did not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demonstrate in terms of dates how and why the present application is time barred. The ruling in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Miscellaneous</w:t>
      </w:r>
      <w:proofErr w:type="gramEnd"/>
      <w:r>
        <w:rPr>
          <w:rFonts w:ascii="Times New Roman" w:hAnsi="Times New Roman" w:cs="Times New Roman"/>
          <w:color w:val="000000"/>
        </w:rPr>
        <w:t xml:space="preserve"> civil application number 128 of 2000 is not among the documents filed by the applicant.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5 February 2002 the Court ordered the applicant to file the said ruling but she instead filed the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in probate and administration cause number 20 of 1994 which though relevant, is not the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of this application.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Mnguto</w:t>
      </w:r>
      <w:proofErr w:type="spellEnd"/>
      <w:r>
        <w:rPr>
          <w:rFonts w:ascii="Times New Roman" w:hAnsi="Times New Roman" w:cs="Times New Roman"/>
          <w:color w:val="000000"/>
        </w:rPr>
        <w:t>, learned advocate for the applicant, contended that the present application is within time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</w:rPr>
        <w:t>Bubeshi</w:t>
      </w:r>
      <w:proofErr w:type="spellEnd"/>
      <w:r>
        <w:rPr>
          <w:rFonts w:ascii="Times New Roman" w:hAnsi="Times New Roman" w:cs="Times New Roman"/>
          <w:color w:val="000000"/>
        </w:rPr>
        <w:t xml:space="preserve"> J rejected miscellaneous civil application number 128 of 2000 on the 17 May 2001 and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thirteen days later, that is, on the 30 May 2001, the applicant brought this application within the 14 days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limitation.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my considered view that the application is not time barred for it was filed within the statutory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limitation of 14 days as provided for under rule 43(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 of 1979. For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reason the first preliminary objection raised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tenable. I accordingly overrule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preliminary objection pertaining to the application being time barred.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on the application being brought on wrong provisions of the law and the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not complying with rule 10 of the Court rules has merit. Realizing her problem of legal literacy,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applied for legal aid on the 10 December 2001 saying that she has no means to engage an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advocate. At the hearing she was represented by counsel but by that time it was too late in the day to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rectify the record of this application.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10 of the Court of Appeal rules provides: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 (1) Except where the nature of the document renders it impracticable, every document prepared for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 in the Court shall be on foolscap paper of durable quality: only one side of the paper shall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used and a margin of not less than one and a half inches shall be left on the side of the sheet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permit binding in a book form.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( 2)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documents prepared for use in the Court shall be clear and easily legible and may be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printed, mimeographed, typewritten, written or reproduced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photostat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photography, type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lithography, stencil duplicating, xerography or in any combination of those media.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( 3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 n every criminal appeal …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( 4)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pages of every application and, in criminal cases, of the record of appeal, and in civil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cases, of the memorandum of appeal and the record of appeal shall be numbered consecutively.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( 5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 n all applications and appeals, every tenth line of each record shall be indicated in the margin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right side of the sheet.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( 6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hatever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medium is adopted for the production and reproduction of documents for use in the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Court, the taxing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officer shall on taxation allow only those costs which would in his opinion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incurred by using the most economical method permitted or available.”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stated earlier on, the applicant did not comply with rule 10 of the Court Rules. Although she was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in the High Court, she sought legal aid in this application because she could not afford the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of an advocate.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Loitiame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Naftali </w:t>
      </w:r>
      <w:r>
        <w:rPr>
          <w:rFonts w:ascii="Times New Roman" w:hAnsi="Times New Roman" w:cs="Times New Roman"/>
          <w:color w:val="000000"/>
        </w:rPr>
        <w:t>civil appeal number 62 of 1999, Court of Appeal of Tanzania at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Arusha (UR) the Court extended time to enable an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unrepresented appellant to properly institute his appeal. Here the applicant filed the record of the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without the assistance of counsel so like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Loitiame</w:t>
      </w:r>
      <w:proofErr w:type="spellEnd"/>
      <w:r>
        <w:rPr>
          <w:rFonts w:ascii="Times New Roman" w:hAnsi="Times New Roman" w:cs="Times New Roman"/>
          <w:color w:val="000000"/>
        </w:rPr>
        <w:t>, this Court is bound to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its power under rule 3(2)(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Rules, 1979 to rectify the situation. Rule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provides: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“3(2)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necessary to make an order for the purpose of: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etter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meeting the ends of justice; or</w:t>
      </w:r>
    </w:p>
    <w:p w:rsidR="00FD562D" w:rsidRDefault="00FD562D" w:rsidP="004B7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… the Court may, on application 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on its own motion</w:t>
      </w:r>
      <w:r>
        <w:rPr>
          <w:rFonts w:ascii="Times New Roman" w:hAnsi="Times New Roman" w:cs="Times New Roman"/>
          <w:color w:val="000000"/>
          <w:sz w:val="20"/>
          <w:szCs w:val="20"/>
        </w:rPr>
        <w:t>, give directions as to the procedure to be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adopted or make any other order which it considers necessary.”</w:t>
      </w:r>
      <w:r w:rsidR="004B7F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above the second preliminary objection is upheld. The application is struck out. But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rule 3(2)(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Rules, time is extended from today to 20 January 2004 to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 the applicant to institute an application and comply with the Court order of the 5 February 2002</w:t>
      </w:r>
      <w:r w:rsidR="004B7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filing the ruling, the subject of this application. Costs to abide the result of the intended appeal.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Mnguto</w:t>
      </w:r>
      <w:proofErr w:type="spellEnd"/>
    </w:p>
    <w:p w:rsidR="00FD562D" w:rsidRDefault="00FD562D" w:rsidP="00FD5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FD562D" w:rsidP="00FD562D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Nyangarika</w:t>
      </w:r>
      <w:bookmarkStart w:id="0" w:name="_GoBack"/>
      <w:bookmarkEnd w:id="0"/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2D"/>
    <w:rsid w:val="0021070D"/>
    <w:rsid w:val="004B7FDF"/>
    <w:rsid w:val="00F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5FDE3-9528-4B6F-9F46-44B53DD9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2018-07-04T12:44:00Z</dcterms:created>
  <dcterms:modified xsi:type="dcterms:W3CDTF">2018-07-13T16:21:00Z</dcterms:modified>
</cp:coreProperties>
</file>