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 Ltd v Income Tax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September 1973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56/1972 (46/74)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Capital or income receipt – Profit on sale of plot originally bought for trading from –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Capital receipt – Change of intention immaterial.</w:t>
      </w:r>
    </w:p>
    <w:p w:rsidR="00C812A9" w:rsidRDefault="00D83044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812A9" w:rsidRDefault="00C812A9" w:rsidP="00D830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Kakamega</w:t>
      </w:r>
      <w:proofErr w:type="spellEnd"/>
      <w:r>
        <w:rPr>
          <w:rFonts w:ascii="Times New Roman" w:hAnsi="Times New Roman" w:cs="Times New Roman"/>
          <w:color w:val="000000"/>
        </w:rPr>
        <w:t xml:space="preserve"> Urban District Council advertised a plot of land for sale for use as a petrol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station. The appellant company applied for it on 11 April 1965, was successful, and, on 14 June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1966, got its grant of title to it. Buildings were erected on the plot and Caltex Oil (Kenya) Ltd. bought it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its developments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165,000/-. The company made a profit of £4,437 on the transaction and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profit was assessed for income tax purposes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35,496/-. The question for decision in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appeal is whether that tax does, or does not, fall properly to be paid.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all material times, the appellant company’s main business was that of a distributor of petroleum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petroleum products, and it held exclusive rights for them in regard to Caltex within the Nyanza and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Western Provinces. The company also owned a petrol station in Kisumu, but it did not itself run it. Mr.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Shah, a director of the appellant company had, it seems, used his influence or good offices in the past to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secure petrol station sites for Caltex, but the company had never before bought a plot and then sold it. I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told that the question of Caltex allocating the plot had not arisen by the year 1966, but I believe, from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before me, that the appellant company wanted itself to run the petrol station on the plot at that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time. I think I am right to say that it could have developed the plot at its own expense and then, having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bought Caltex’s products, marketed them from it. But it preferred to sell or lease the plot to Caltex and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take it, on allocation, from them. Such allocation was denied it, but it is, as I think, what it was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hoping for in 1966; or perhaps even before that, in 1965 According to Mr. Kimani, Caltex’s retail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development </w:t>
      </w:r>
      <w:proofErr w:type="spellStart"/>
      <w:r>
        <w:rPr>
          <w:rFonts w:ascii="Times New Roman" w:hAnsi="Times New Roman" w:cs="Times New Roman"/>
          <w:color w:val="000000"/>
        </w:rPr>
        <w:t>co-ordinator</w:t>
      </w:r>
      <w:proofErr w:type="spellEnd"/>
      <w:r>
        <w:rPr>
          <w:rFonts w:ascii="Times New Roman" w:hAnsi="Times New Roman" w:cs="Times New Roman"/>
          <w:color w:val="000000"/>
        </w:rPr>
        <w:t>, Caltex, indeed, hoped that the company would operate it; which is why it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developed the plot. But that may have been later. I am not sure.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Shah told us that the appellant company acquired the plot so that a petrol station might be built on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from which Caltex’s petroleum products could be sold. I believe it to be so. It seems to me that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prime object of the purchase of the plot was to enable the company to trade on it. This distinguishes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transaction from Mr. Shah’s previous efforts on behalf of Caltex. Caltex was certainly asked to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something about the plot, but this was only to be expected. So too, would one have expected Caltex to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in on the question of the application for the plot from the beginning; which it was. We have in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 minute dated 3 April 1967 which Caltex’s manager addressed to his managing director which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 you are aware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Somchand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Shah negotiated for 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gazetted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service station site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Kakamega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township</w:t>
      </w:r>
      <w:proofErr w:type="gramEnd"/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secured the plot accordingly some 18 months ago. According to Mr. Shah, it was alleged that this action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taken by him at the verbal request of Mr. P. J. Wilson who was supposed to have stated some three years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ago that he would have liked Mr. Shah to use whatever influence he could to achieve this.”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minute indicates reservation if not </w:t>
      </w:r>
      <w:proofErr w:type="spellStart"/>
      <w:r>
        <w:rPr>
          <w:rFonts w:ascii="Times New Roman" w:hAnsi="Times New Roman" w:cs="Times New Roman"/>
          <w:color w:val="000000"/>
        </w:rPr>
        <w:t>scepticism</w:t>
      </w:r>
      <w:proofErr w:type="spellEnd"/>
      <w:r>
        <w:rPr>
          <w:rFonts w:ascii="Times New Roman" w:hAnsi="Times New Roman" w:cs="Times New Roman"/>
          <w:color w:val="000000"/>
        </w:rPr>
        <w:t>, but there is no reason to suppose that what Mr. Shah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was not true.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Shah and Mr. Kimani may both have been less than accurate in regard to details and dates, but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evidence is nonetheless generally acceptable. We are, in any event, helped by the minute and,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indeed, by another one dated 18 August 1966 addressed also to Caltex’s managing director, but this time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Caltex’s acting manager. I would like to have seen further correspondence, but none was available to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me. Mr. Shah told us that he submitted plans for the erection of a petrol station on the plot in 1967 but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after they were approved,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 operation were not commenced right away because, as he put it, “we had to explore the market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see if it was worthwhile”. That is not so. Mr. Shah approached Caltex long before. When Mr. Kimani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asked whether Mr. Shah had approached Caltex to buy the plot, or whether Caltex had approached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Shah to sell it, he said that it was Mr. Shah’s (by which he meant the appellant company’s) intention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sell it to Caltex right from the beginning, but Caltex turned it down because, in his words, “we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could not get good </w:t>
      </w:r>
      <w:proofErr w:type="spellStart"/>
      <w:r>
        <w:rPr>
          <w:rFonts w:ascii="Times New Roman" w:hAnsi="Times New Roman" w:cs="Times New Roman"/>
          <w:color w:val="000000"/>
        </w:rPr>
        <w:t>gallonage</w:t>
      </w:r>
      <w:proofErr w:type="spellEnd"/>
      <w:r>
        <w:rPr>
          <w:rFonts w:ascii="Times New Roman" w:hAnsi="Times New Roman" w:cs="Times New Roman"/>
          <w:color w:val="000000"/>
        </w:rPr>
        <w:t xml:space="preserve"> to pay our money back”. When he was asked to explain what he meant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“right from the beginning” he said that when Mr. Shah acquired the plot he asked Caltex to buy it, but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refused, Caltex, however, </w:t>
      </w:r>
      <w:r>
        <w:rPr>
          <w:rFonts w:ascii="Times New Roman" w:hAnsi="Times New Roman" w:cs="Times New Roman"/>
          <w:color w:val="000000"/>
        </w:rPr>
        <w:lastRenderedPageBreak/>
        <w:t>having a later change of mind. Nonetheless I do not think that there was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 straight offer for sale or request to buy.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some time between the grant of title to the plot and 18 August 1966, i.e. within a period of two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or so, the appellant company wrote to Caltex. The letter is not before us, but, according to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minute of April 1967, the appellant company had twice before asked Caltex either to buy the plot, or take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on lease. The minute says: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two previous occasions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Somchand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Shah has been advised that the Company has no intention of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investing capital for a Company owned/leased outlet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Kakamega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we suggested that Nyanza Oil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Distributors dispose of their site elsewhere.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Somchand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Shah, however, has strongly urged us to make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 sort of offer and it is therefore our proposal that we lease on a rental per gallon basis, any outlet which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N.O.D. wishes to construct on the plot with their own investment.”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minute seems to indicate that, whatever may have been the arrangement with Mr. Wilson, Mr. Shah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not have asked Caltex to develop the plot until after it was acquired. The minute indeed says: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“After securing the site Mr. Shah approached us. However at that time, we said that we were not interested in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development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Kakamega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area. . . 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Having regard to the relationship between the parties (to say nothing of the arrangement) Mr. Shah may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have thought it safe enough to go ahead with the purchase of the plot in the reasonable expectation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Caltex would help him in some way or other in regard to it. There is no specific mention in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minute of Caltex allocating the developed plot to the company but, as I read </w:t>
      </w:r>
      <w:proofErr w:type="gramStart"/>
      <w:r>
        <w:rPr>
          <w:rFonts w:ascii="Times New Roman" w:hAnsi="Times New Roman" w:cs="Times New Roman"/>
          <w:color w:val="000000"/>
        </w:rPr>
        <w:t>it, that</w:t>
      </w:r>
      <w:proofErr w:type="gramEnd"/>
      <w:r>
        <w:rPr>
          <w:rFonts w:ascii="Times New Roman" w:hAnsi="Times New Roman" w:cs="Times New Roman"/>
          <w:color w:val="000000"/>
        </w:rPr>
        <w:t xml:space="preserve"> is to be inferred.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its case, the appellant company suggested that the sale of the plot resulted from Caltex’s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policy of </w:t>
      </w:r>
      <w:proofErr w:type="spellStart"/>
      <w:r>
        <w:rPr>
          <w:rFonts w:ascii="Times New Roman" w:hAnsi="Times New Roman" w:cs="Times New Roman"/>
          <w:color w:val="000000"/>
        </w:rPr>
        <w:t>Africanisation</w:t>
      </w:r>
      <w:proofErr w:type="spellEnd"/>
      <w:r>
        <w:rPr>
          <w:rFonts w:ascii="Times New Roman" w:hAnsi="Times New Roman" w:cs="Times New Roman"/>
          <w:color w:val="000000"/>
        </w:rPr>
        <w:t>; but I do not find it to be so. Mr. Shah told us: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would not have operated that petrol station without having the rights for the whole of Nyanza – not a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simple service station. . . . I initiated [selling the plot] when [Caltex] declined the agency of ours for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marketing in Nyanza Province.”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That, to say the least, is an over-simplification. It is true that the appellant company had its wide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(or wholesale) rights and that without those rights it probably had no interest in running just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one, small, not very remunerative service station in the competitive arena of </w:t>
      </w:r>
      <w:proofErr w:type="spellStart"/>
      <w:r>
        <w:rPr>
          <w:rFonts w:ascii="Times New Roman" w:hAnsi="Times New Roman" w:cs="Times New Roman"/>
          <w:color w:val="000000"/>
        </w:rPr>
        <w:t>Kakamega</w:t>
      </w:r>
      <w:proofErr w:type="spellEnd"/>
      <w:r>
        <w:rPr>
          <w:rFonts w:ascii="Times New Roman" w:hAnsi="Times New Roman" w:cs="Times New Roman"/>
          <w:color w:val="000000"/>
        </w:rPr>
        <w:t>, but I nonetheless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accept this evidence which Mr. Shah gave: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“Caltex did not give me rights for this petrol station. They gave it to Mr. Elijah. Subsequently my rights for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Nyanza Province were terminated. Caltex said they wanted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Africanise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marketing policy. Had I been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distribution rights for the petrol station, I would not have sold it. We developed the petrol station after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refused distribution rights for it.”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Mr. Kimani: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“Our policy resolved to follow Government’s policy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Africanisation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since the Government declared it to be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policy. I am not sure but since 1968 we decided not to allocate service stations to non-citizens but to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allocate only to African citizens . . . When we decided to allocate service stations to the Africans we informed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 of our intention of stopping their distribution rights of our petroleum products.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) Except for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implementation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Africanisation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you have given rights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Kakamega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petrol station to them?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No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 Before we decided to develop or agreed with Mr. Shah’s request, he guaranteed the station would sell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about 7,000 gallons a month. Mr. Shah asked us because he wanted development. We could have given him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rights for the petrol station, but we could not go against the Government.”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clear that the question of </w:t>
      </w:r>
      <w:proofErr w:type="spellStart"/>
      <w:r>
        <w:rPr>
          <w:rFonts w:ascii="Times New Roman" w:hAnsi="Times New Roman" w:cs="Times New Roman"/>
          <w:color w:val="000000"/>
        </w:rPr>
        <w:t>Africanisation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only arose a good deal later in time than Mr. Shah’s first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approach to Caltex about the plot; two, perhaps three, years before. The original intention of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company does not call for the transaction to be considered other than as a capital one.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however, says that even if this be so, there was a change in intention which change requires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transaction to be considered as a revenue one, for which he relies on the fact of the plot having been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developed before sale.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must bear everything in mind in coming to a decision in these cases, but, as I see it, the fact of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 does not enhance the value of the respondent’s case. The grant of the land contains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that buildings of approved design had to be erected on it within 24 months of 1 September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1965, that the land and buildings should only be used as a petrol station, and that no application for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to alienate the land, or any part of it (except by way of security for a loan) would be considered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buildings had been erected. Mr. Kimani told us: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we lent Mr. Shah the money to develop the plot and he assured us he could get 7,000 gallons a month.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</w:rPr>
        <w:t>) When Mr. Shah was given the loan were you going to purchase it?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If Mr. Shah did not shift the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gallonage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promised we had to buy that plot and ask Mr. Shah to pay 20 cents a gallon for the gallons he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did not achieve. This was in the form of a letter.”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But Mr. Kimani also told us that Caltex bought the plot because: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we allocated the business to Mr. Elijah we could not control the dealer when the site was not directly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our control.”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Caltex, as I see it, bought the plot because there had been an improvement as to its location and it might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 moral obligation to Mr. Shah to do so.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Caltex paid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165,000/- for the developed site having lent the appellant company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60,000/- to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 it. This amount was thought to be, and seems to have been, the amount required and Caltex was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 to give its erstwhile </w:t>
      </w:r>
      <w:r>
        <w:rPr>
          <w:rFonts w:ascii="Times New Roman" w:hAnsi="Times New Roman" w:cs="Times New Roman"/>
          <w:color w:val="000000"/>
        </w:rPr>
        <w:lastRenderedPageBreak/>
        <w:t>distributors a profit. I do not believe that anyone had in mind that the plot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be developed so that a profit might be made. The plot had to be developed if the terms of the grant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observed, an undeveloped plot could have been of no use to Caltex, and, under the terms of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grant, the appellant company and no one but the appellant company could develop the plot.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opinion that when the appellant bought the plot it did so to run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petrol station on it. Incidental to that were such matters as its ownership and the cost of its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development. I do not suppose that any businessman ever buys, except in special situations, with a view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sale at a loss and I see no reason to think that Mr. Shah is an exception. But we do not know what 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may have asked for the plot on his original requests to Caltex, nor do we know who suggested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165,000/-. Caltex was prepared to pay that amount for the developed plot and the company, I would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think, was more than content to accept it. Perhaps the moral obligation played its part in the fixing of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price. Moreover the company had a plot which it was not going to be able to use as a petrol station or for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 else. What else could it prudently have done than to sell it? To whom else could it have sold it?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see how the transaction of sale can possibly amount to a revenue transaction.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profit which the appellant company made can attract income tax only if it can be said that it was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business which it carried on: see s. 3 of the East African Income Tax Management Act (Cap. 24).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“business” is defined as including any trade, profession or vocation, and “trade” includes “every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trade, manufacture, adventure or concern in the nature of trade”, what falls to be decided is whether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profit was made from an adventure in the nature of trade. I do not find that it was. I do not doubt that an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isolated transaction such as we have here may be taxable but this can be so only if the venture – call it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you will – is in the nature of trade. Lord Clyde in </w:t>
      </w:r>
      <w:r>
        <w:rPr>
          <w:rFonts w:ascii="Times New Roman" w:hAnsi="Times New Roman" w:cs="Times New Roman"/>
          <w:i/>
          <w:iCs/>
          <w:color w:val="000000"/>
        </w:rPr>
        <w:t>Commissioner of Inland Revenue v. Livingston</w:t>
      </w:r>
      <w:r>
        <w:rPr>
          <w:rFonts w:ascii="Times New Roman" w:hAnsi="Times New Roman" w:cs="Times New Roman"/>
          <w:color w:val="000000"/>
        </w:rPr>
        <w:t>,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 T.C. 538 at p. 542 said: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think the profits of an isolated venture . . . may be taxable . . . provided the venture is ‘in the nature of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trade’. I say ‘may be’ because in my view regard must be had to the character and circumstances of the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venture. If the venture was one consisting simply in an isolated purchase of some article against an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expected rise in price and a subsequent sale it might be impossible to say that the venture was ‘in the nature of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trade’; because the only trade in the nature of which it could participate would be the trade of a dealer in such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articles, and a single transaction falls far short of constituting a dealer’s trade . . . The trade of a dealer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necessarily consists of a course of dealing . . . But this principle is difficult to apply to ventures of a more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complex character . . . I think the test, which must be used to determine whether a venture . . . is, or is not, ‘in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nature of trade’, is whether the operations involved in it are of the same kind, and carried on in the same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way, as those which are characteristic of ordinary trading in the line of business in which the venture was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Rowlatt</w:t>
      </w:r>
      <w:proofErr w:type="spellEnd"/>
      <w:r>
        <w:rPr>
          <w:rFonts w:ascii="Times New Roman" w:hAnsi="Times New Roman" w:cs="Times New Roman"/>
          <w:color w:val="000000"/>
        </w:rPr>
        <w:t xml:space="preserve">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Leeming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Jones</w:t>
      </w:r>
      <w:r>
        <w:rPr>
          <w:rFonts w:ascii="Times New Roman" w:hAnsi="Times New Roman" w:cs="Times New Roman"/>
          <w:color w:val="000000"/>
        </w:rPr>
        <w:t>, 15 T.C. 333 thought that this quotation “covers all the cases”.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characteristics of the transaction with which we are concerned are not those ordinarily to be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in the business of buying and selling of land, nor are they so to be found in the sale or marketing of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petroleum and petroleum products. It is not a characteristic of ordinary trading in land to buy in the hope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one’s only supplier – that must be so vis-à-vis Caltex – will buy the land and then allocate it back so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it may be traded on. But the offer made was to sell or </w:t>
      </w:r>
      <w:r>
        <w:rPr>
          <w:rFonts w:ascii="Times New Roman" w:hAnsi="Times New Roman" w:cs="Times New Roman"/>
          <w:i/>
          <w:iCs/>
          <w:color w:val="000000"/>
        </w:rPr>
        <w:t xml:space="preserve">lease </w:t>
      </w:r>
      <w:r>
        <w:rPr>
          <w:rFonts w:ascii="Times New Roman" w:hAnsi="Times New Roman" w:cs="Times New Roman"/>
          <w:color w:val="000000"/>
        </w:rPr>
        <w:t>in any event. Even if we assume that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company bought the land hoping to make a profit on its sale, it is of no importance in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before us. One can buy something with the declared intention of selling it at a profit and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sell it in pursuance of such intention without it perforce becoming a revenue transaction. </w:t>
      </w:r>
      <w:proofErr w:type="spellStart"/>
      <w:r>
        <w:rPr>
          <w:rFonts w:ascii="Times New Roman" w:hAnsi="Times New Roman" w:cs="Times New Roman"/>
          <w:color w:val="000000"/>
        </w:rPr>
        <w:t>Rowlatt</w:t>
      </w:r>
      <w:proofErr w:type="spellEnd"/>
      <w:r>
        <w:rPr>
          <w:rFonts w:ascii="Times New Roman" w:hAnsi="Times New Roman" w:cs="Times New Roman"/>
          <w:color w:val="000000"/>
        </w:rPr>
        <w:t>, J.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p. 340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Leeming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Jones </w:t>
      </w:r>
      <w:r>
        <w:rPr>
          <w:rFonts w:ascii="Times New Roman" w:hAnsi="Times New Roman" w:cs="Times New Roman"/>
          <w:color w:val="000000"/>
        </w:rPr>
        <w:t>case, had this to say: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“Now what have [the Commissioners] found . . . : That the property was acquired with the sole object of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turning it over again at a profit and without any intention of holding the property as an investment. That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describes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what a man does if he buys a picture that he sees going cheap at Christies because he knows that in a month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will sell it again at Christies.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is not carrying on a trade. Those words will not do as a finding of carrying on a trade or anything else.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the Commissioners must do is to say, one way or the other, was this, I will not say carrying on a trade,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was it a speculation or an adventure in the nature of trade.”</w:t>
      </w:r>
      <w:r w:rsidR="00D830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apart from the question of trading on the plot, there was the offering to Caltex of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plot on sale </w:t>
      </w:r>
      <w:r>
        <w:rPr>
          <w:rFonts w:ascii="Times New Roman" w:hAnsi="Times New Roman" w:cs="Times New Roman"/>
          <w:i/>
          <w:iCs/>
          <w:color w:val="000000"/>
        </w:rPr>
        <w:t>or lease</w:t>
      </w:r>
      <w:r>
        <w:rPr>
          <w:rFonts w:ascii="Times New Roman" w:hAnsi="Times New Roman" w:cs="Times New Roman"/>
          <w:color w:val="000000"/>
        </w:rPr>
        <w:t>, so the matter of holding it as an investment was not abandoned, and must also be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kept in mind.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content to accept that a transaction can change into a revenue one, but there is no such change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here. If </w:t>
      </w:r>
      <w:proofErr w:type="spellStart"/>
      <w:r>
        <w:rPr>
          <w:rFonts w:ascii="Times New Roman" w:hAnsi="Times New Roman" w:cs="Times New Roman"/>
          <w:color w:val="000000"/>
        </w:rPr>
        <w:t>Rowlatt</w:t>
      </w:r>
      <w:proofErr w:type="spellEnd"/>
      <w:r>
        <w:rPr>
          <w:rFonts w:ascii="Times New Roman" w:hAnsi="Times New Roman" w:cs="Times New Roman"/>
          <w:color w:val="000000"/>
        </w:rPr>
        <w:t>, J.’s picture from Christies would likely to have sold at a higher price with a nice gilt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swept frame around it, and the purchaser had so adorned, and then sold it, that would not, of itself, have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him to pay tax on the profit he made when he did so. Here the plot had to be developed by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company if it was to sell it. Even if it had then formed the intention of making a profit on the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deal that </w:t>
      </w:r>
      <w:r>
        <w:rPr>
          <w:rFonts w:ascii="Times New Roman" w:hAnsi="Times New Roman" w:cs="Times New Roman"/>
          <w:color w:val="000000"/>
        </w:rPr>
        <w:lastRenderedPageBreak/>
        <w:t>intention does not, in the circumstances, matter. Counsel for the respondent himself told me that</w:t>
      </w:r>
      <w:r w:rsidR="00D830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alone is not conclusive.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 the purchase and subsequent development and sale of the plot was a capital transaction.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is allowed with costs.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Bhailal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Patel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C812A9" w:rsidRDefault="00C812A9" w:rsidP="00C8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Wekesa</w:t>
      </w:r>
      <w:proofErr w:type="spellEnd"/>
    </w:p>
    <w:p w:rsidR="006B48C8" w:rsidRDefault="006B48C8" w:rsidP="00C812A9"/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A9"/>
    <w:rsid w:val="006B48C8"/>
    <w:rsid w:val="00C812A9"/>
    <w:rsid w:val="00D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DF711-609A-4A18-A76F-7AAAF40A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2018-07-05T13:28:00Z</dcterms:created>
  <dcterms:modified xsi:type="dcterms:W3CDTF">2018-07-13T16:24:00Z</dcterms:modified>
</cp:coreProperties>
</file>