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NBC Holding Corporation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Mrecha</w:t>
      </w:r>
      <w:proofErr w:type="spellEnd"/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Dodoma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June 2000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35/95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Lugakangira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Overdraft – Conditions of overdraft – Construction of terms – Variation of terms –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clause exempting bank from giving notice of variation was valid.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Award of special damages – Strict proof – Whether reasonableness could be a basis for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special damages – Whether sufficient evidence had been adduced to prove special damages.</w:t>
      </w:r>
    </w:p>
    <w:p w:rsidR="00DA3658" w:rsidRDefault="00DA3658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E69B4" w:rsidRDefault="00DA3658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E69B4" w:rsidRDefault="004E69B4" w:rsidP="00DA36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LUGAKINGIRA JA: </w:t>
      </w:r>
      <w:r>
        <w:rPr>
          <w:rFonts w:ascii="Times New Roman" w:hAnsi="Times New Roman" w:cs="Times New Roman"/>
          <w:color w:val="000000"/>
        </w:rPr>
        <w:t>By an agreement dated 7 January 1994 the Respondent obtained an overdraft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facility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 from the then National Bank of Commerce expressed to expire on 10 December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1994 and subject to various conditions. Clause (2) of these conditions stated: “Although the overdraft is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sanctioned to expire on 10 December 1994 the Bank retains the right of varying it at any time without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notice”.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on 31 January 1994 the Respondent was required to sign a new agreement granting a reduced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overdraft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 million and on 1 February 1994 he was informed that that sum represented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approved overdraft which had previously been erroneously indicated 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million. The Respondent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protested to the bank’s branch manager at </w:t>
      </w:r>
      <w:proofErr w:type="spellStart"/>
      <w:r>
        <w:rPr>
          <w:rFonts w:ascii="Times New Roman" w:hAnsi="Times New Roman" w:cs="Times New Roman"/>
          <w:color w:val="000000"/>
        </w:rPr>
        <w:t>Singida</w:t>
      </w:r>
      <w:proofErr w:type="spellEnd"/>
      <w:r>
        <w:rPr>
          <w:rFonts w:ascii="Times New Roman" w:hAnsi="Times New Roman" w:cs="Times New Roman"/>
          <w:color w:val="000000"/>
        </w:rPr>
        <w:t xml:space="preserve"> and at the bank’s headquarters in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and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resulted in the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 million overdraft being restored on 22 February 1994. However,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then commenced proceedings in the High Court at Dodoma alleging that the variation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constituted a breach of contract and that he had suffered damage between 1 and 22 February when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variation was in operation. He claimed what he termed general damages amounting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19 577 510,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at the bank rate and costs. The trial Judge held that there was a breach but awarded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3 669 500 in special and general damages, plus costs and interest. The bank, whose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liabilities have since vested in the NBC Holding Corporation, appealed against the decision through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counsel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The Respondent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  <w:r w:rsidR="00DA365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deciding that the bank had breached the contract, the trial Judge held that clause (2) cited above,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termed an exemption clause, did not empower the bank to vary the overdraft amount but its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expiration date. He said: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my view that the amount of the overdraft was the essence of the contract in this case, and the reduction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same deprived the agreement of all the contractual force. I take it that the exemption clause entitled the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bank to vary only the date of expiry, the interest rate, etc., but not the amount of the overdraft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facility, which was the core of the contract”.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arriving at that view he held that clause (2) was ambiguous, that it had to be construed restrictively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bank because it appeared on a standard form, and that, in accordance with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</w:t>
      </w:r>
      <w:r w:rsidR="00DA365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rule, the words “the bank retains the right of varying it at any time” were to be read as limited to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expiry date rather than the overdraft facility. The third ground of appeal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was that the Learned Judge erred in his construction of the clause and that variation had reference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overdraft.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the Judge’s interpretation.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think, with respect, there is no ambiguity in clause (2). In our appreciation of it, the pronoun “it”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refers to “overdraft” and the phrase “at any time” refers to the date of expiry, thereby meaning that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overdraft could be varied at any time before 10 December 1994. The trial Judge found as a fact that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was explained to the Respondent and held that the Respondent understood the document.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therefore understood the variation to refer to the overdraft and that is why his counsel at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did not argue that clause (2) was ambiguous but merely that it was “very unconscionable”, meaning,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oppressive</w:t>
      </w:r>
      <w:proofErr w:type="gramEnd"/>
      <w:r>
        <w:rPr>
          <w:rFonts w:ascii="Times New Roman" w:hAnsi="Times New Roman" w:cs="Times New Roman"/>
          <w:color w:val="000000"/>
        </w:rPr>
        <w:t>. We do not think the argument of conscionability could avail the Respondent, either, because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to an executory contract are at liberty to vary its terms at any time, either partially or wholly, if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necessity for doing so arises. Besides, variation of overdraft terms is a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banking practice.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only need refer to a passage brought to our attention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Sheldon’s Practice and</w:t>
      </w:r>
      <w:r w:rsidR="00DA365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Law of Banki</w:t>
      </w:r>
      <w:r>
        <w:rPr>
          <w:rFonts w:ascii="Times New Roman" w:hAnsi="Times New Roman" w:cs="Times New Roman"/>
          <w:color w:val="000000"/>
        </w:rPr>
        <w:t xml:space="preserve">ng (13 Ed) page 310, which states: “When a banker agrees to allow </w:t>
      </w:r>
      <w:r>
        <w:rPr>
          <w:rFonts w:ascii="Times New Roman" w:hAnsi="Times New Roman" w:cs="Times New Roman"/>
          <w:color w:val="000000"/>
        </w:rPr>
        <w:lastRenderedPageBreak/>
        <w:t>the customer on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advance, the documents of charge usually consists a provision making the loan repayable on demand. 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takes power as a rule to cancel the specified limit, if and when he deems it advisable to do so”.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too, it is apparent that the Respondent’s basic complaint was not against the variation as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but, according to paragraph 6 of the plaint, was against the fact that the variation was done “without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sufficient notice” and that this was “to the detriment and loss in business on the part of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Plaintiff”. It is indeed apparent that notice is necessary in banking practice, for </w:t>
      </w:r>
      <w:r>
        <w:rPr>
          <w:rFonts w:ascii="Times New Roman" w:hAnsi="Times New Roman" w:cs="Times New Roman"/>
          <w:i/>
          <w:iCs/>
          <w:color w:val="000000"/>
        </w:rPr>
        <w:t>Sheldon’</w:t>
      </w:r>
      <w:r>
        <w:rPr>
          <w:rFonts w:ascii="Times New Roman" w:hAnsi="Times New Roman" w:cs="Times New Roman"/>
          <w:color w:val="000000"/>
        </w:rPr>
        <w:t>s book further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):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“But he (the banker) must give reasonable notice to his customer before acting upon his decision to cancel the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limit, and must pay all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the limit originally agreed upon, drawn and put into circulation before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customer has received notice. How much notice is required will depend upon circumstances”.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foregoing, and now with reference to the first, second and fourth grounds of appeal, we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satisfied that there was no breach of contract on account of the variation as such. Moreover, it is not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easy to see in what sense clause (2) became an exemption clause in relation to variation as such; it was in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context merely an enabling clause to vary the limit of the overdraft. However, the clause constituted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exemption in another context – the context of notice: it exempted the bank from the necessity of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prior notice when exercising the right to vary the overdraft. It is noteworthy, though, that it did not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that the bank was exempt from liability for damages arising from the absence of notice. If such an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exemption was intended, it had to be expressed in clear words: </w:t>
      </w:r>
      <w:r>
        <w:rPr>
          <w:rFonts w:ascii="Times New Roman" w:hAnsi="Times New Roman" w:cs="Times New Roman"/>
          <w:i/>
          <w:iCs/>
          <w:color w:val="000000"/>
        </w:rPr>
        <w:t xml:space="preserve">Allison (F Gordon)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Wallsend</w:t>
      </w:r>
      <w:proofErr w:type="spellEnd"/>
      <w:r w:rsidR="00DA365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Shipway and Engineering Co Ltd </w:t>
      </w:r>
      <w:r>
        <w:rPr>
          <w:rFonts w:ascii="Times New Roman" w:hAnsi="Times New Roman" w:cs="Times New Roman"/>
          <w:color w:val="000000"/>
        </w:rPr>
        <w:t>[1927] 43 TLR 323 at 324. As the clause stands, there is no mention of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exemption from liability for varying the overdraft without giving notice. We think that is precisely why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letter addressed to the Respondent on 1 February 1994, the bank hastened to </w:t>
      </w:r>
      <w:proofErr w:type="spellStart"/>
      <w:r>
        <w:rPr>
          <w:rFonts w:ascii="Times New Roman" w:hAnsi="Times New Roman" w:cs="Times New Roman"/>
          <w:color w:val="000000"/>
        </w:rPr>
        <w:t>apologise</w:t>
      </w:r>
      <w:proofErr w:type="spellEnd"/>
      <w:r>
        <w:rPr>
          <w:rFonts w:ascii="Times New Roman" w:hAnsi="Times New Roman" w:cs="Times New Roman"/>
          <w:color w:val="000000"/>
        </w:rPr>
        <w:t xml:space="preserve"> for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inconvenience arising from its act: </w:t>
      </w:r>
      <w:r>
        <w:rPr>
          <w:rFonts w:ascii="Times New Roman" w:hAnsi="Times New Roman" w:cs="Times New Roman"/>
          <w:i/>
          <w:iCs/>
          <w:color w:val="000000"/>
        </w:rPr>
        <w:t>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Tunakuomba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msamaa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(sic)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kwa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usumbufu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utakaokupata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haikuwa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nia</w:t>
      </w:r>
      <w:proofErr w:type="spellEnd"/>
      <w:r w:rsidR="00DA365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yetu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kukupa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matumaini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”. </w:t>
      </w:r>
      <w:r>
        <w:rPr>
          <w:rFonts w:ascii="Times New Roman" w:hAnsi="Times New Roman" w:cs="Times New Roman"/>
          <w:color w:val="000000"/>
        </w:rPr>
        <w:t>Since notice is necessary in banking practice, a banker who seeks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exempt himself from it does so at his own risk if, as in this case, the exemption does not extend to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for injury to the customer, therefore, while holding that the variation of the overdraft in this case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a breach of contract, we believe the bank exposed itself to damages for exercising its right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vary the overdraft without notice in the absence of an exemption from liability.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various heads of damages awarded by the trial Judge are challenged in the fifth, sixth and seventh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of appeal. The fifth ground relates to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1 610 000 for cotton cake which went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bad on account of the delay in dispatching it from </w:t>
      </w:r>
      <w:proofErr w:type="spellStart"/>
      <w:r>
        <w:rPr>
          <w:rFonts w:ascii="Times New Roman" w:hAnsi="Times New Roman" w:cs="Times New Roman"/>
          <w:color w:val="000000"/>
        </w:rPr>
        <w:t>Shinyanga</w:t>
      </w:r>
      <w:proofErr w:type="spellEnd"/>
      <w:r>
        <w:rPr>
          <w:rFonts w:ascii="Times New Roman" w:hAnsi="Times New Roman" w:cs="Times New Roman"/>
          <w:color w:val="000000"/>
        </w:rPr>
        <w:t>, to Arusha. The trial Judge held that if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overdraft had not been reduced, the Respondent would have dispatched the cake earlier, but he was from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 January to 21 February busy trying to establish why the overdraft was reduced. We have held that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variation of the overdraft as such did not amount to a breach, but even if the matter were looked at from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absence of notice, we think the claim was remote and untenable. In the evidence of the Respondent,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overdraft was extended for the business of supplying beer to </w:t>
      </w:r>
      <w:proofErr w:type="spellStart"/>
      <w:r>
        <w:rPr>
          <w:rFonts w:ascii="Times New Roman" w:hAnsi="Times New Roman" w:cs="Times New Roman"/>
          <w:color w:val="000000"/>
        </w:rPr>
        <w:t>Shinyanga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Singida</w:t>
      </w:r>
      <w:proofErr w:type="spellEnd"/>
      <w:r>
        <w:rPr>
          <w:rFonts w:ascii="Times New Roman" w:hAnsi="Times New Roman" w:cs="Times New Roman"/>
          <w:color w:val="000000"/>
        </w:rPr>
        <w:t>. There is no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 between this activity and the supply of cotton cake and the latter was therefore not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in the contract.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sustain the fifth ground and set aside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1 610 000.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sixth ground it is contended that the trial Judge erred in awarding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599 510 as travel, board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lodging expenses incurred by the Respondent when he travelled to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to press for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restoration of the original overdraft, and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 as lost profits when the variation was in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operation. The Judge made the first award merely for being “reasonable” in the light of the 10 days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spent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-Salaam. We think reasonableness cannot be the basis for awarding what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amounted to special damages, but strict proof thereof. The Respondent tendered no receipts to establish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claim but conceded that he had none. On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 the Judge himself said: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agree with the Defendant’s counsel that this claim being of special damages ought to be strictly proved.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Plaintiff did not bring any documentary evidence to establish how much profit he had been making in the</w:t>
      </w:r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past. What we have is mere speculation and conjecture . . .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proofErr w:type="gramEnd"/>
      <w:r w:rsidR="00DA365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had claimed a total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14 630 000 as lost profits, but the Judge observed that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could not have made that much profit in 21 days were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not removed from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overdraft. However, he observed that if the Appellant had bought beer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he would have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some profit. He therefore assessed loss of profits 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million. Once again, we have held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breach, so that amount was not available even as nominal damages. Further, there was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evidence of any loss, so the sum cannot be awarded even for the absence of notice. Moreover,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DA365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out, it does not appear that the Respondent was engaged in the business for which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overdraft was extended. He did </w:t>
      </w:r>
      <w:r>
        <w:rPr>
          <w:rFonts w:ascii="Times New Roman" w:hAnsi="Times New Roman" w:cs="Times New Roman"/>
          <w:color w:val="000000"/>
        </w:rPr>
        <w:lastRenderedPageBreak/>
        <w:t xml:space="preserve">not say for what purpose he issued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Exhibits P2, P3, P4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P5 to Philemon </w:t>
      </w:r>
      <w:proofErr w:type="spellStart"/>
      <w:r>
        <w:rPr>
          <w:rFonts w:ascii="Times New Roman" w:hAnsi="Times New Roman" w:cs="Times New Roman"/>
          <w:color w:val="000000"/>
        </w:rPr>
        <w:t>Olutu</w:t>
      </w:r>
      <w:proofErr w:type="spellEnd"/>
      <w:r>
        <w:rPr>
          <w:rFonts w:ascii="Times New Roman" w:hAnsi="Times New Roman" w:cs="Times New Roman"/>
          <w:color w:val="000000"/>
        </w:rPr>
        <w:t xml:space="preserve"> of Arusha, </w:t>
      </w:r>
      <w:proofErr w:type="spellStart"/>
      <w:r>
        <w:rPr>
          <w:rFonts w:ascii="Times New Roman" w:hAnsi="Times New Roman" w:cs="Times New Roman"/>
          <w:color w:val="000000"/>
        </w:rPr>
        <w:t>Malisa</w:t>
      </w:r>
      <w:proofErr w:type="spellEnd"/>
      <w:r>
        <w:rPr>
          <w:rFonts w:ascii="Times New Roman" w:hAnsi="Times New Roman" w:cs="Times New Roman"/>
          <w:color w:val="000000"/>
        </w:rPr>
        <w:t xml:space="preserve"> of Moshi, Joel Brothers Limited of </w:t>
      </w:r>
      <w:proofErr w:type="spellStart"/>
      <w:r>
        <w:rPr>
          <w:rFonts w:ascii="Times New Roman" w:hAnsi="Times New Roman" w:cs="Times New Roman"/>
          <w:color w:val="000000"/>
        </w:rPr>
        <w:t>Singida</w:t>
      </w:r>
      <w:proofErr w:type="spellEnd"/>
      <w:r>
        <w:rPr>
          <w:rFonts w:ascii="Times New Roman" w:hAnsi="Times New Roman" w:cs="Times New Roman"/>
          <w:color w:val="000000"/>
        </w:rPr>
        <w:t xml:space="preserve"> and Star Petrol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Station of </w:t>
      </w:r>
      <w:proofErr w:type="spellStart"/>
      <w:r>
        <w:rPr>
          <w:rFonts w:ascii="Times New Roman" w:hAnsi="Times New Roman" w:cs="Times New Roman"/>
          <w:color w:val="000000"/>
        </w:rPr>
        <w:t>Singida</w:t>
      </w:r>
      <w:proofErr w:type="spellEnd"/>
      <w:r>
        <w:rPr>
          <w:rFonts w:ascii="Times New Roman" w:hAnsi="Times New Roman" w:cs="Times New Roman"/>
          <w:color w:val="000000"/>
        </w:rPr>
        <w:t xml:space="preserve"> respectively. He could not possibly have purchased beer from a petrol station for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distribution to </w:t>
      </w:r>
      <w:proofErr w:type="spellStart"/>
      <w:r>
        <w:rPr>
          <w:rFonts w:ascii="Times New Roman" w:hAnsi="Times New Roman" w:cs="Times New Roman"/>
          <w:color w:val="000000"/>
        </w:rPr>
        <w:t>Shinyanga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Singida</w:t>
      </w:r>
      <w:proofErr w:type="spellEnd"/>
      <w:r>
        <w:rPr>
          <w:rFonts w:ascii="Times New Roman" w:hAnsi="Times New Roman" w:cs="Times New Roman"/>
          <w:color w:val="000000"/>
        </w:rPr>
        <w:t xml:space="preserve">. What is more, he did not say that the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were presented to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bank and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. In short, the award had no basis whatsoever.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the seventh ground challenges the award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 as general damages. As pointed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  <w:r>
        <w:rPr>
          <w:rFonts w:ascii="Times New Roman" w:hAnsi="Times New Roman" w:cs="Times New Roman"/>
          <w:color w:val="000000"/>
        </w:rPr>
        <w:t>, the Respondent did not pray for general damages but special damages which 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erroneously titled “General Damages”. The Learned trial Judge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but made the award on the</w:t>
      </w:r>
      <w:bookmarkStart w:id="0" w:name="_GoBack"/>
      <w:bookmarkEnd w:id="0"/>
      <w:r w:rsidR="00DA3658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“our financial institutions do not strictly abide by their working ethics” and that the breach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“must have caused a lot of anxiety and inconvenience to the Plaintiff as a businessman”. Since we have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there was no breach we can see no basis for punishing the Appellant bank for the so-called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ethics; and since the Respondent appears to have been engaged in businesses other than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for which the overdraft was extended, he cannot be compensated for anxiety and inconvenience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for the absence of notice.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in sum come to the view that this appeal ought to succeed and it is allowed in its </w:t>
      </w:r>
      <w:proofErr w:type="spellStart"/>
      <w:r>
        <w:rPr>
          <w:rFonts w:ascii="Times New Roman" w:hAnsi="Times New Roman" w:cs="Times New Roman"/>
          <w:color w:val="000000"/>
        </w:rPr>
        <w:t>enterity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DA365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decree of the High Court being set aside. The Appellant will have its costs here and below.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Lugakangira</w:t>
      </w:r>
      <w:proofErr w:type="spellEnd"/>
      <w:r>
        <w:rPr>
          <w:rFonts w:ascii="Times New Roman" w:hAnsi="Times New Roman" w:cs="Times New Roman"/>
          <w:color w:val="000000"/>
        </w:rPr>
        <w:t xml:space="preserve"> JA.)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E69B4" w:rsidRDefault="004E69B4" w:rsidP="004E6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Rweyongeza</w:t>
      </w:r>
      <w:proofErr w:type="spellEnd"/>
    </w:p>
    <w:p w:rsidR="00664035" w:rsidRDefault="004E69B4" w:rsidP="004E69B4">
      <w:r>
        <w:rPr>
          <w:rFonts w:ascii="Times New Roman" w:hAnsi="Times New Roman" w:cs="Times New Roman"/>
          <w:color w:val="000000"/>
        </w:rPr>
        <w:t>For the Respondent: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B4"/>
    <w:rsid w:val="004E69B4"/>
    <w:rsid w:val="00664035"/>
    <w:rsid w:val="00D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F951F-E226-4B69-ADEC-7622F5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2018-07-05T12:33:00Z</dcterms:created>
  <dcterms:modified xsi:type="dcterms:W3CDTF">2018-07-13T16:39:00Z</dcterms:modified>
</cp:coreProperties>
</file>