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Najeno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Serwanga</w:t>
      </w:r>
      <w:proofErr w:type="spellEnd"/>
    </w:p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March 1974</w:t>
      </w:r>
    </w:p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45/1971 (41/75)</w:t>
      </w:r>
    </w:p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Ag J</w:t>
      </w:r>
    </w:p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F76E6" w:rsidRDefault="00CF76E6" w:rsidP="00CF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Probate and Administration – Succession – Succession Act applies to all persons.</w:t>
      </w:r>
    </w:p>
    <w:p w:rsidR="00CF76E6" w:rsidRDefault="00CF76E6" w:rsidP="00CF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Defendant – Substitution for dead defendant – Grant of probate or</w:t>
      </w:r>
    </w:p>
    <w:p w:rsidR="00CF76E6" w:rsidRDefault="00CF76E6" w:rsidP="00CF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letters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necessary.</w:t>
      </w:r>
    </w:p>
    <w:p w:rsidR="00CF76E6" w:rsidRDefault="00F5787A" w:rsidP="00F578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F76E6" w:rsidRDefault="00CF76E6" w:rsidP="00F578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Allen Ag J: </w:t>
      </w:r>
      <w:r>
        <w:rPr>
          <w:rFonts w:ascii="Times New Roman" w:hAnsi="Times New Roman" w:cs="Times New Roman"/>
          <w:color w:val="000000"/>
        </w:rPr>
        <w:t>This is a second appeal against the judgment of a magistrate which was reversed by the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Magistrate.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concerned land at </w:t>
      </w:r>
      <w:proofErr w:type="spellStart"/>
      <w:r>
        <w:rPr>
          <w:rFonts w:ascii="Times New Roman" w:hAnsi="Times New Roman" w:cs="Times New Roman"/>
          <w:color w:val="000000"/>
        </w:rPr>
        <w:t>Kabowa</w:t>
      </w:r>
      <w:proofErr w:type="spellEnd"/>
      <w:r>
        <w:rPr>
          <w:rFonts w:ascii="Times New Roman" w:hAnsi="Times New Roman" w:cs="Times New Roman"/>
          <w:color w:val="000000"/>
        </w:rPr>
        <w:t xml:space="preserve"> village which the appellant claimed from a woman called </w:t>
      </w:r>
      <w:proofErr w:type="spellStart"/>
      <w:r>
        <w:rPr>
          <w:rFonts w:ascii="Times New Roman" w:hAnsi="Times New Roman" w:cs="Times New Roman"/>
          <w:color w:val="000000"/>
        </w:rPr>
        <w:t>Najeno</w:t>
      </w:r>
      <w:proofErr w:type="spellEnd"/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died on 9 February 1970 before the first appeal was heard. On 30 May 1970 the then Chief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dismissed the appeal on the ground that the appellant was dead and she had not pursued her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which had been filed on 16 October 1969, before her death.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Sengoba</w:t>
      </w:r>
      <w:proofErr w:type="spellEnd"/>
      <w:r>
        <w:rPr>
          <w:rFonts w:ascii="Times New Roman" w:hAnsi="Times New Roman" w:cs="Times New Roman"/>
          <w:color w:val="000000"/>
        </w:rPr>
        <w:t xml:space="preserve"> then applied on 17 July 1970 to substitute the deceased’s daughter </w:t>
      </w:r>
      <w:proofErr w:type="spellStart"/>
      <w:r>
        <w:rPr>
          <w:rFonts w:ascii="Times New Roman" w:hAnsi="Times New Roman" w:cs="Times New Roman"/>
          <w:color w:val="000000"/>
        </w:rPr>
        <w:t>Manjeri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for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of the appellant and, on 24 August 1970, the Chief Magistrate rescinded the order of his predecessor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revived the appeal under s. 101 of the Civil Procedure Act and he ordered that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should be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 party under O. 21 r. 3 although he did not specify on which side.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appeal was eventually heard and allowed in favour of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Sendege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 submitted that the daughter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had no locus standi and the Chief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ought not to have added her as a party merely because of her affidavit and that of her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advocate, Mr. </w:t>
      </w:r>
      <w:proofErr w:type="spellStart"/>
      <w:r>
        <w:rPr>
          <w:rFonts w:ascii="Times New Roman" w:hAnsi="Times New Roman" w:cs="Times New Roman"/>
          <w:color w:val="000000"/>
        </w:rPr>
        <w:t>Sengoba</w:t>
      </w:r>
      <w:proofErr w:type="spellEnd"/>
      <w:r>
        <w:rPr>
          <w:rFonts w:ascii="Times New Roman" w:hAnsi="Times New Roman" w:cs="Times New Roman"/>
          <w:color w:val="000000"/>
        </w:rPr>
        <w:t>. In addition the Order referred to by the Chief Magistrate, O. 21 r. 3, concerned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death of a plaintiff whereas </w:t>
      </w:r>
      <w:proofErr w:type="spellStart"/>
      <w:r>
        <w:rPr>
          <w:rFonts w:ascii="Times New Roman" w:hAnsi="Times New Roman" w:cs="Times New Roman"/>
          <w:color w:val="000000"/>
        </w:rPr>
        <w:t>Najeno</w:t>
      </w:r>
      <w:proofErr w:type="spellEnd"/>
      <w:r>
        <w:rPr>
          <w:rFonts w:ascii="Times New Roman" w:hAnsi="Times New Roman" w:cs="Times New Roman"/>
          <w:color w:val="000000"/>
        </w:rPr>
        <w:t xml:space="preserve"> was the defendant. He rightly pointed out that O. 21 r. 4 (1) was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correct one for replacing a dead defendant. It reads as follows: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Where one of two or more defendants dies and the cause of action does not survive or continue against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surviving defendant or defendants alone, or a sole defendant or sole surviving defendant dies and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cause of action survives or continues, the court, on an application made in that behalf, shall cause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legal representative of the deceased defendant to be made a party and shall proceed with the suit.”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expression “legal representative” is defined in s. 2 of the Civil Procedure Act as: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person who in law represents the estate of a deceased person, and where a party sues or is sued in a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representative character the person on whom the estate devolves on the death of the party so suing or sued.”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Law Reform (Miscellaneous Provisions) Act (Cap. 74) the expression “personal representative” is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used. S. 13 (7) reads as follows: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the provisions of this Act, the personal representative of a deceased person shall have the right to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prosecute or defend any cause of action which has by virtue of this section survived for the benefit of or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the estate of such deceased person.”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s. 2 of the same Act “personal representative” is defined as: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case of a deceased person to whom the Succession Act applies either wholly or in part, his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executor or administrator;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case of any other deceased person, any person who, under law or custom, is responsible for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administering the estate of such deceased person.”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3 (1) of the Succession Act, as amended by Decree 22 of 1972 defines personal representative as: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person appointed by law to administer the estate or any part thereof of a deceased person.”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S.I. 181 of 1966 the original Order exempting certain classes of people, including Africans, from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operation of the Succession Act was revoked. It was therefore applicable to the deceased respondent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Najeno</w:t>
      </w:r>
      <w:proofErr w:type="spellEnd"/>
      <w:r>
        <w:rPr>
          <w:rFonts w:ascii="Times New Roman" w:hAnsi="Times New Roman" w:cs="Times New Roman"/>
          <w:color w:val="000000"/>
        </w:rPr>
        <w:t xml:space="preserve"> in 1970 when the application was made to substitute her daughter’s name or, perhaps, join her as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party.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affidavit dated 17 July 1970 Mr. </w:t>
      </w:r>
      <w:proofErr w:type="spellStart"/>
      <w:r>
        <w:rPr>
          <w:rFonts w:ascii="Times New Roman" w:hAnsi="Times New Roman" w:cs="Times New Roman"/>
          <w:color w:val="000000"/>
        </w:rPr>
        <w:t>Sengoba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to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as the legal representative of the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deceased.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in her affidavit of 30 March 1970 called herself the successor in title of the deceased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respect of the buildings and </w:t>
      </w:r>
      <w:proofErr w:type="spellStart"/>
      <w:r>
        <w:rPr>
          <w:rFonts w:ascii="Times New Roman" w:hAnsi="Times New Roman" w:cs="Times New Roman"/>
          <w:color w:val="000000"/>
        </w:rPr>
        <w:t>Kibanja</w:t>
      </w:r>
      <w:proofErr w:type="spellEnd"/>
      <w:r>
        <w:rPr>
          <w:rFonts w:ascii="Times New Roman" w:hAnsi="Times New Roman" w:cs="Times New Roman"/>
          <w:color w:val="000000"/>
        </w:rPr>
        <w:t xml:space="preserve"> in dispute. Apart from her affidavit there was no other document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evidence to support her claim to be the successor in title. There was no original or certified copy of a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letters of administration and nothing to show that she had any authority to act or to refer to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herself as the personal or legal representative of the deceased.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264 of the Succession Act provides that: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“After any grant of probate or letters of administration, no person other than the person to whom the same has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granted shall have power to sue or prosecute any suit, or otherwise act as representative of the deceased,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until such probate or letters of administration has or have been recalled or revoked.”</w:t>
      </w:r>
      <w:r w:rsidR="00F578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Kawere</w:t>
      </w:r>
      <w:proofErr w:type="spellEnd"/>
      <w:r>
        <w:rPr>
          <w:rFonts w:ascii="Times New Roman" w:hAnsi="Times New Roman" w:cs="Times New Roman"/>
          <w:color w:val="000000"/>
        </w:rPr>
        <w:t xml:space="preserve"> for both the respondent and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contended that his firm of advocates had handled the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right from the start with authority to represent the respondent, and that the Chief Magistrate was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to allow the appeal to proceed in the way in which he did.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 cannot see that it matters which advocates were involved. What is important is whether or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</w:t>
      </w:r>
      <w:proofErr w:type="spellStart"/>
      <w:r>
        <w:rPr>
          <w:rFonts w:ascii="Times New Roman" w:hAnsi="Times New Roman" w:cs="Times New Roman"/>
          <w:color w:val="000000"/>
        </w:rPr>
        <w:t>Namusazi</w:t>
      </w:r>
      <w:proofErr w:type="spellEnd"/>
      <w:r>
        <w:rPr>
          <w:rFonts w:ascii="Times New Roman" w:hAnsi="Times New Roman" w:cs="Times New Roman"/>
          <w:color w:val="000000"/>
        </w:rPr>
        <w:t xml:space="preserve"> could properly be referred to as the legal or personal representative. On the facts before me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cannot find that she was so entitled and until she could produce satisfactory proof, by showing the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grant, then the first appeal could not properly be heard. She therefore had no locus standi in the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Magistrate’s Court.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opinion that the Chief Magistrate acted wrongly in proceeding to hear the appeal in his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that his judgment and decree are therefore null and void since the appellant in that court was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dead and there was no legal representative before him.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I, therefore, do not consider that it is necessary for me to consider the merits or otherwise of this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as far as the land dispute itself is concerned.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this appeal is allowed and I set aside the judgment and decree of the Chief Magistrate.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now is that the trial magistrate’s judgment stands and there is an unheard appeal against it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subsisting in the Chief Magistrate’s Court. It is up to the legal or personal representative of the deceased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take the next step if he or she is interested in pursuing this matter.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award costs in this appeal and in the Chief Magistrate’s Court to the appellant.</w:t>
      </w:r>
      <w:r w:rsidR="00F578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CF76E6" w:rsidRDefault="00CF76E6" w:rsidP="00CF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F76E6" w:rsidRDefault="00CF76E6" w:rsidP="00CF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Sendego</w:t>
      </w:r>
      <w:proofErr w:type="spellEnd"/>
    </w:p>
    <w:p w:rsidR="00CF76E6" w:rsidRDefault="00CF76E6" w:rsidP="00CF7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CF76E6" w:rsidP="00CF76E6"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Kawere</w:t>
      </w:r>
      <w:bookmarkStart w:id="0" w:name="_GoBack"/>
      <w:bookmarkEnd w:id="0"/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E6"/>
    <w:rsid w:val="003278A0"/>
    <w:rsid w:val="00CF76E6"/>
    <w:rsid w:val="00F5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5EA6B-92A9-441F-AB88-F673878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2018-07-06T11:23:00Z</dcterms:created>
  <dcterms:modified xsi:type="dcterms:W3CDTF">2018-07-11T17:59:00Z</dcterms:modified>
</cp:coreProperties>
</file>