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Namuddu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17 January 2001</w:t>
      </w:r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3/99</w:t>
      </w:r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F4389" w:rsidRDefault="008F4389" w:rsidP="00567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Appeals – Third appeal – Leave to appeal granted by Court of Appeal when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raises matters of public or general importance – Meaning thereof.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Appeals – Third appeal – Leave to appeal granted by Supreme Court –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Hearing an application to Supreme Court for leave to appeal – Whether Supreme Court is confined to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matters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before the Court of Appeal when it refused to grant leave for third appeal.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Criminal procedure – Appeals – Third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appeal </w:t>
      </w:r>
      <w:r>
        <w:rPr>
          <w:rFonts w:ascii="Times New Roman" w:hAnsi="Times New Roman" w:cs="Times New Roman"/>
          <w:i/>
          <w:iCs/>
          <w:color w:val="000000"/>
        </w:rPr>
        <w:t>– Third appeal requires certificate of Court of Appeal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granting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leave to appeal – Leave granted when appeal raises matters of great public or general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importance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Section 6(5) Judicature Act (Chapter 13).</w:t>
      </w:r>
    </w:p>
    <w:p w:rsidR="00567B70" w:rsidRDefault="00567B70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67B70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567B70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and another were jointly charged with and convicted of causing financial loss contrary to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258(1) of the Penal Code and abuse of office contrary to section 83 of the Penal Code. They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successfully to the High Court against their convictions and sentence but this appellate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was overturned on second appeal by the Court of Appeal. Despite not having the requisite leave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Appeal, the appellants lodged a third appeal to the Supreme Court. Thereafter, they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to the Court of Appeal for a certificate to enable them pursue their appeal to the Supreme Court.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declined to grant leave on the grounds that the issues raised in the application were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points of law of considerable public or general importance and were not novel.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applicant, decided to apply for leave for a third appeal to the Supreme Court. She brought her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under section 6(5) of the Judicature Act, 1996 and rules 37(1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41(1) and 42(1) of the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Rules of 1996.</w:t>
      </w:r>
      <w:r w:rsidR="00567B70">
        <w:rPr>
          <w:rFonts w:ascii="Times New Roman" w:hAnsi="Times New Roman" w:cs="Times New Roman"/>
          <w:color w:val="000000"/>
        </w:rPr>
        <w:t xml:space="preserve"> </w:t>
      </w:r>
    </w:p>
    <w:p w:rsidR="00567B70" w:rsidRDefault="00567B70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Court of Appeal may grant a certificate for a third appeal to the Supreme Court only when it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satisfied that the appeal raises a question or questions of law of </w:t>
      </w:r>
      <w:proofErr w:type="spellStart"/>
      <w:r>
        <w:rPr>
          <w:rFonts w:ascii="Times New Roman" w:hAnsi="Times New Roman" w:cs="Times New Roman"/>
          <w:color w:val="000000"/>
        </w:rPr>
        <w:t>greate</w:t>
      </w:r>
      <w:proofErr w:type="spellEnd"/>
      <w:r>
        <w:rPr>
          <w:rFonts w:ascii="Times New Roman" w:hAnsi="Times New Roman" w:cs="Times New Roman"/>
          <w:color w:val="000000"/>
        </w:rPr>
        <w:t xml:space="preserve"> public importance or that it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raises a question or questions of law of general importance.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section 6(5) of the Judicature Act empowers the Supreme Court to grant leave for a third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if in its overall duty to see that justice is done, it considers that the appeal should be heard.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when hearing an application for a third appeal, the Supreme Court is not bound by the above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restrictions imposed on the Court of Appeal when it is considering an application for a certificate. While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is restricted to questions of law, the Supreme Court has power to consider other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an appeal to raise a question of great general or public importance, that question should be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sufficiently general or public in outlook (</w:t>
      </w:r>
      <w:r>
        <w:rPr>
          <w:rFonts w:ascii="Times New Roman" w:hAnsi="Times New Roman" w:cs="Times New Roman"/>
          <w:i/>
          <w:iCs/>
          <w:color w:val="000000"/>
        </w:rPr>
        <w:t xml:space="preserve">Rex v Mohammed Shah s/o Lal Shah </w:t>
      </w:r>
      <w:r>
        <w:rPr>
          <w:rFonts w:ascii="Times New Roman" w:hAnsi="Times New Roman" w:cs="Times New Roman"/>
          <w:color w:val="000000"/>
        </w:rPr>
        <w:t>[1939] 6 EACA 103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quoted,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Daines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R v Williams </w:t>
      </w:r>
      <w:r>
        <w:rPr>
          <w:rFonts w:ascii="Times New Roman" w:hAnsi="Times New Roman" w:cs="Times New Roman"/>
          <w:color w:val="000000"/>
        </w:rPr>
        <w:t xml:space="preserve">[1961] 1 All ER 290,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Ashdon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[1973] 58 Cr App R 339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Verries</w:t>
      </w:r>
      <w:proofErr w:type="spellEnd"/>
      <w:r w:rsidR="00567B7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DPP </w:t>
      </w:r>
      <w:r>
        <w:rPr>
          <w:rFonts w:ascii="Times New Roman" w:hAnsi="Times New Roman" w:cs="Times New Roman"/>
          <w:color w:val="000000"/>
        </w:rPr>
        <w:t>[1966] 50 Cr App R 315 distinguished).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been convicted on two courts, which stemmed out of the same transaction contrary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section 20 of the Penal Code. Thus her appeal raised a significant question of great public or general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importance. (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Doobs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[1951] EACA 319,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Santokh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Kehar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[1955] 22 EACA 440 followed).</w:t>
      </w:r>
      <w:r w:rsidR="00567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allowed.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Kassim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Supreme Court criminal appeal number 30 of 1994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[1973] EA 86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v Dobbs </w:t>
      </w:r>
      <w:r>
        <w:rPr>
          <w:rFonts w:ascii="Times New Roman" w:hAnsi="Times New Roman" w:cs="Times New Roman"/>
          <w:color w:val="000000"/>
        </w:rPr>
        <w:t xml:space="preserve">[1951] 18 EACA 319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Rex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Mohamed Shah s/o Lal Shah </w:t>
      </w:r>
      <w:r>
        <w:rPr>
          <w:rFonts w:ascii="Times New Roman" w:hAnsi="Times New Roman" w:cs="Times New Roman"/>
          <w:color w:val="000000"/>
        </w:rPr>
        <w:t xml:space="preserve">[1939] 6 EACA 103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Santokh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Kehar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[1955] 22 EACA 440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209 of [2004] 2 EA 207 (SCU)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Ashdon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[1973] 58 Cr App R 339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for Northern Ireland v Gallagher </w:t>
      </w:r>
      <w:r>
        <w:rPr>
          <w:rFonts w:ascii="Times New Roman" w:hAnsi="Times New Roman" w:cs="Times New Roman"/>
          <w:color w:val="000000"/>
        </w:rPr>
        <w:t xml:space="preserve">[1963] AC 349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Gelberg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Miller </w:t>
      </w:r>
      <w:r>
        <w:rPr>
          <w:rFonts w:ascii="Times New Roman" w:hAnsi="Times New Roman" w:cs="Times New Roman"/>
          <w:color w:val="000000"/>
        </w:rPr>
        <w:t xml:space="preserve">[1961] 1 All ER 291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F4389" w:rsidRDefault="008F4389" w:rsidP="008F4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v Williams, 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Daines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[1961] 1 All ER 290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21070D" w:rsidRDefault="008F4389" w:rsidP="008F4389">
      <w:proofErr w:type="spellStart"/>
      <w:r>
        <w:rPr>
          <w:rFonts w:ascii="Times New Roman" w:hAnsi="Times New Roman" w:cs="Times New Roman"/>
          <w:i/>
          <w:iCs/>
          <w:color w:val="000000"/>
        </w:rPr>
        <w:t>Verrier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DPP </w:t>
      </w:r>
      <w:r>
        <w:rPr>
          <w:rFonts w:ascii="Times New Roman" w:hAnsi="Times New Roman" w:cs="Times New Roman"/>
          <w:color w:val="000000"/>
        </w:rPr>
        <w:t xml:space="preserve">[1966] 50 Cr App R 315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89"/>
    <w:rsid w:val="0021070D"/>
    <w:rsid w:val="00567B70"/>
    <w:rsid w:val="008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C44FB-1A0C-42A5-8C1B-F5EF7C8D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2018-07-04T12:45:00Z</dcterms:created>
  <dcterms:modified xsi:type="dcterms:W3CDTF">2018-07-11T18:01:00Z</dcterms:modified>
</cp:coreProperties>
</file>