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7F9" w:rsidRPr="0045672D" w:rsidRDefault="005E47F9" w:rsidP="005E4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proofErr w:type="spellStart"/>
      <w:r w:rsidRPr="0045672D">
        <w:rPr>
          <w:rFonts w:ascii="Times New Roman" w:hAnsi="Times New Roman" w:cs="Times New Roman"/>
          <w:b/>
          <w:bCs/>
          <w:color w:val="000080"/>
          <w:sz w:val="24"/>
          <w:szCs w:val="24"/>
        </w:rPr>
        <w:t>Namuddu</w:t>
      </w:r>
      <w:proofErr w:type="spellEnd"/>
      <w:r w:rsidRPr="0045672D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v Uganda</w:t>
      </w:r>
    </w:p>
    <w:p w:rsidR="005E47F9" w:rsidRPr="0045672D" w:rsidRDefault="005E47F9" w:rsidP="005E4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672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Division: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Supreme Court of Uganda at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Mengo</w:t>
      </w:r>
      <w:proofErr w:type="spellEnd"/>
    </w:p>
    <w:p w:rsidR="005E47F9" w:rsidRPr="0045672D" w:rsidRDefault="005E47F9" w:rsidP="005E4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672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Date of ruling: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17 January 2001</w:t>
      </w:r>
    </w:p>
    <w:p w:rsidR="005E47F9" w:rsidRPr="0045672D" w:rsidRDefault="005E47F9" w:rsidP="005E4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672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Case Number: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3/99</w:t>
      </w:r>
    </w:p>
    <w:p w:rsidR="005E47F9" w:rsidRPr="0045672D" w:rsidRDefault="005E47F9" w:rsidP="005E4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672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Before: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Wambuzi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CJ, Oder,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Tsekooko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Karokora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</w:p>
    <w:p w:rsidR="005E47F9" w:rsidRPr="0045672D" w:rsidRDefault="005E47F9" w:rsidP="005E4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Mukasa-Kikonyogo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JJSC</w:t>
      </w:r>
    </w:p>
    <w:p w:rsidR="005E47F9" w:rsidRPr="0045672D" w:rsidRDefault="005E47F9" w:rsidP="005E4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672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Sourced by: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LawAfrica</w:t>
      </w:r>
      <w:proofErr w:type="spellEnd"/>
    </w:p>
    <w:p w:rsidR="005E47F9" w:rsidRPr="0045672D" w:rsidRDefault="005E47F9" w:rsidP="005E4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5672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Summarised</w:t>
      </w:r>
      <w:proofErr w:type="spellEnd"/>
      <w:r w:rsidRPr="0045672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by: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Adriko</w:t>
      </w:r>
      <w:proofErr w:type="spellEnd"/>
    </w:p>
    <w:p w:rsidR="005E47F9" w:rsidRPr="0045672D" w:rsidRDefault="005E47F9" w:rsidP="005E4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[1] Criminal procedure – Appeals – Third appeal – Leave to appeal granted by Court of Appeal when</w:t>
      </w:r>
    </w:p>
    <w:p w:rsidR="005E47F9" w:rsidRPr="0045672D" w:rsidRDefault="005E47F9" w:rsidP="005E4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appeal</w:t>
      </w:r>
      <w:proofErr w:type="gram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raises matters of public or general importance – Meaning thereof.</w:t>
      </w:r>
    </w:p>
    <w:p w:rsidR="005E47F9" w:rsidRPr="0045672D" w:rsidRDefault="005E47F9" w:rsidP="005E4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[2] Criminal procedure – Appeals – Third appeal – Leave to appeal granted by Supreme Court –</w:t>
      </w:r>
    </w:p>
    <w:p w:rsidR="005E47F9" w:rsidRPr="0045672D" w:rsidRDefault="005E47F9" w:rsidP="005E4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Hearing an application to Supreme Court for leave to appeal – Whether Supreme Court is confined to</w:t>
      </w:r>
    </w:p>
    <w:p w:rsidR="005E47F9" w:rsidRPr="0045672D" w:rsidRDefault="005E47F9" w:rsidP="005E4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matters</w:t>
      </w:r>
      <w:proofErr w:type="gram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before the Court of Appeal when it refused to grant leave for third appeal.</w:t>
      </w:r>
    </w:p>
    <w:p w:rsidR="005E47F9" w:rsidRPr="0045672D" w:rsidRDefault="005E47F9" w:rsidP="005E4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[3] Criminal procedure – Appeals – Third appeal – Third appeal requires certificate of Court of Appeal</w:t>
      </w:r>
    </w:p>
    <w:p w:rsidR="005E47F9" w:rsidRPr="0045672D" w:rsidRDefault="005E47F9" w:rsidP="005E4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granting</w:t>
      </w:r>
      <w:proofErr w:type="gram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leave to appeal – Leave granted when appeal raises matters of great public or general</w:t>
      </w:r>
    </w:p>
    <w:p w:rsidR="005E47F9" w:rsidRPr="0045672D" w:rsidRDefault="005E47F9" w:rsidP="005E4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importance</w:t>
      </w:r>
      <w:proofErr w:type="gram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– Section 6(5) Judicature Act (Chapter 13).</w:t>
      </w:r>
    </w:p>
    <w:p w:rsidR="005E47F9" w:rsidRPr="0045672D" w:rsidRDefault="0045672D" w:rsidP="005E4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5672D">
        <w:rPr>
          <w:rFonts w:ascii="Times New Roman" w:hAnsi="Times New Roman" w:cs="Times New Roman"/>
          <w:b/>
          <w:bCs/>
          <w:color w:val="000000"/>
          <w:sz w:val="24"/>
          <w:szCs w:val="24"/>
        </w:rPr>
        <w:t>RULING</w:t>
      </w:r>
    </w:p>
    <w:p w:rsidR="005E47F9" w:rsidRPr="0045672D" w:rsidRDefault="005E47F9" w:rsidP="005E4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672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WAMBUZI CJ, ODER, TSEKOOKO, KAROKORA AND MUKASA-KIKONYOGO JJSC: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 applicant,</w:t>
      </w:r>
    </w:p>
    <w:p w:rsidR="005E47F9" w:rsidRPr="0045672D" w:rsidRDefault="005E47F9" w:rsidP="00456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Namuddu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Christine, has brought this application by notice of motion seeking leave to appeal to this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Court against the decision of the Court of Appeal in Court of Appeal criminal appeal number 4 of 1997.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 application is brought under section 6(5) of the Judicature Statute, 1996 and rules 37(1</w:t>
      </w:r>
      <w:proofErr w:type="gram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),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41(1) and 42(1) of the Supreme Court rules, 1996.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There is a procedural error. The notice is sub-headed as “Appeal from the ruling of the Court of Appeal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of Uganda at Kampala dated 25 November 1999”. In view of the wording of both subsections (5) of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section 6 of The Judicature Statute and rule 37(1</w:t>
      </w:r>
      <w:proofErr w:type="gram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), this matter is a fresh application to this Court even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though the effect of it is to enable this Court to review the decision of the Court of Appeal when it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refused a certificate to appeal. Be that as it may, the application was originally lodged on behalf of two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applicants (Professor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Senyonga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and C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Namuddu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>) who had been jointly charged, tried and convicted by a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Chief Magistrate in Buganda Road Court. The original first applicant was Professor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Senyonga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and the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second applicant was and is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Namuddu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Christine. For reasons we do not want to go into, Professor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Senyonga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decided not to pursue the application. It is the application of the second applicant,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Namuddu</w:t>
      </w:r>
      <w:proofErr w:type="spellEnd"/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Christine that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has been argued before us. We shall hereinafter refer to her as the applicant.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 application is supported by an affidavit sworn by the applicant on 8 December 1999. In the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affidavit, the applicant sets out the back ground to this application.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The applicant was the 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>undersecretary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in the ministry of agriculture, animal husbandry and fisheries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where Professor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Senyonga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was the permanent secretary. For conduct arising from the performance of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their duties in the ministry, the two were jointly charged with and convicted of causing financial loss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contrary to a contravention of clause 258(1) of the Penal Code, in one count and abuse of office clause 83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of the Penal Code in another count. They were each sentenced to imprisonment for five years in the first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count and three years in the second count, the two sentences were to run concurrently. They were also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each ordered to pay compensation in the sum of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UShs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20 million. They succeeded in their appeal to the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High Court but on appeal against the High Court decision, the Court of Appeal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lastRenderedPageBreak/>
        <w:t>reversed the decision of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 High Court and restored that of the Chief Magistrate. The two appealed to this Court (Supreme Court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criminal appeal number 6 of 1999). The appeal was lodged without a certificate of the Court of Appeal or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 requisite leave of this Court as required by rule 37(1</w:t>
      </w:r>
      <w:proofErr w:type="gram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) and or section 6(5) of the Judicature Statute,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1996. The applicant and Professor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Senyonga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thereafter applied to the Court of Appeal for a certificate to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enable them appeal to this Court. The Court of Appeal declined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to grant the requisite certificate on grounds that the issues raised in the application to that court were not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points of law of considerable public or general importance and of some novelty. Now the applicant asks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us to grant her leave to appeal against the convictions and the sentences.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 two grounds in the notice of motion are formulated as follows: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“1. </w:t>
      </w:r>
      <w:proofErr w:type="gram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intended appeal raises matters of general importance for the Court to review in order to see that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justice is done.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5672D">
        <w:rPr>
          <w:rFonts w:ascii="Times New Roman" w:hAnsi="Times New Roman" w:cs="Times New Roman"/>
          <w:color w:val="000000"/>
          <w:sz w:val="24"/>
          <w:szCs w:val="24"/>
        </w:rPr>
        <w:t>2. W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hether the doctrine of strict liability could be applied in a case where a permanent secretary/undersecretary who relies on technocrats in the day to day performance of his work can be criminally liable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in a matter where he has not been shown to have benefited”.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Kabega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, counsel for the applicant referred us to the decision of the Court of Appeal and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criticised</w:t>
      </w:r>
      <w:proofErr w:type="spellEnd"/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that court for its reliance on the decision of this Court in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Kassim</w:t>
      </w:r>
      <w:proofErr w:type="spell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Mpanga</w:t>
      </w:r>
      <w:proofErr w:type="spell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Uganda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Supreme Court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criminal appeal number 30 of 1994. In effect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Kabega</w:t>
      </w:r>
      <w:proofErr w:type="spell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contended that the two cases are distinguishable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because in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Mpanga’s</w:t>
      </w:r>
      <w:proofErr w:type="spell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case there was overwhelming evidence against the appellant who had confessed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that he had misused his powers and that he had diverted money which accrued as interest on loans.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learned</w:t>
      </w:r>
      <w:proofErr w:type="gram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counsel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criticised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the Court of Appeal for upholding the conviction of the applicant because of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her failure to ensure proper accountability. He cited </w:t>
      </w: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Attorney-General for Northern Ireland v Gallagher</w:t>
      </w:r>
      <w:r w:rsidR="0045672D"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[1963] AC 349 (at 358) for the view that “the present law” should not be strictly interpreted so as to deny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 applicant a right for her case to be considered by this Court. He submitted that there is a matter of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public general importance and therefore we should grant this application. </w:t>
      </w:r>
      <w:proofErr w:type="gram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learned</w:t>
      </w:r>
      <w:proofErr w:type="gram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counsel half-heartedly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stated that one of the grounds for the intended appeal was that the law and the decision based on it are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bad.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For the respondent,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Michael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Wamasebu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>, principal State Attorney, repeated the arguments he made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in the Court of Appeal that for an application under rule 37(1</w:t>
      </w:r>
      <w:proofErr w:type="gram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) to succeed, the applicant must show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that the application is a proper application for which a certificate should be given.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In his view, the applicant’s affidavit does not disclose evidence that the application raises matters of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public or general importance. He argued that neither did the affidavit show that the Court of Appeal erred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in its decision. The learned Principal State Attorney supported the decision of the Court of Appeal to the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effect that section 258(1) of the Penal Code Act does not create an offence of strict liability and that the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issue of whether the applicant should be held responsible for acts and omissions of other officers working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under her (her technocrats) is a policy matter and not a matter of law and that if we granted leave that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leave would amount to rewriting section 258(1).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In so far as is relevant, section 258(1) reads as follows: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“258(1) A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person employed by the government, who in the performance of his duties, does an act or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omits to do any act knowing or having reason to believe that such act or omission will cause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financial loss to the government shall be guilty of the offence of causing financial loss”.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A third appeal to this Court can be entertained only on a certificate given by the Court of Appeal or on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leave being granted by this Court to the effect that the intended appeal raises one or more matters of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public or general importance which would be proper for this Court to review in order to see that justice is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done: section 6(5) and rule 37(1</w:t>
      </w:r>
      <w:proofErr w:type="gram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). Subsections (5) and rule 37(1</w:t>
      </w:r>
      <w:proofErr w:type="gram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) are worded somewhat differently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but the effect of the two provisions is the same.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Unfortunately both provisions do not define the expression “great public or general importance”.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Section 6(5) states: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“Where the appeal emanates from a judgment of a Chief Magistrate or a Magistrate Grade I in the exercise of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their original jurisdiction and either the accused person or the director of public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lastRenderedPageBreak/>
        <w:t>prosecutions has appealed to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 High Court and the Court of Appeal, the accused person or the director of public prosecutions may lodge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a third appeal to the Supreme Court with the certificate of the Court of Appeal that the matter raises a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question or questions of law of great public or general importance or if the Supreme Court, in its overall duty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to see that justice is done, considers that the appeal should be heard”.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It appears to us that for leave to be granted by this Court, this Court is not restricted to the decision of the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Court of Appeal once that Court refuses to grant the requisite certificate. Whereas it can be said that the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application to this Court is in the nature of an appeal because the application arises only after the Court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of Appeal refuses to grant a certificate, when this Court considers the application to review, this Court is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not necessarily confined to only the matters which were considered by the Court of Appeal before it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declined to give the certificate. To that extent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Gallaghers</w:t>
      </w:r>
      <w:proofErr w:type="spell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case (</w:t>
      </w: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supra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) is not helpful because there the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House of Lords considered a provision which was not quite similar to section 6(5) and rule 37(1</w:t>
      </w:r>
      <w:proofErr w:type="gram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). The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case was concerned with jurisdiction of the House of Lords to hear an appeal where the Court below had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given a certificate that a point of law was involved but refused to grant leave. </w:t>
      </w: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Gallagher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distinguishable in one other respect in that there the Court of Appeal actually certified that a point of law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of general public importance was involved but the Court refused to grant leave. It was the House of Lords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which granted the leave and eventually allowed the appeal. Furthermore the English/Irish Statute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interpreted in </w:t>
      </w: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Gallagher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case talked of “general public importance” whereas section 6(5) refers to “a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questions of law of great public or general importance or if the Supreme Court, in its overall all duty to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see that justice is done, considers that the appeal should be heard”.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To clarify further we would like to quote section 1(2) of the Administration of Justice Act, 1960 of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United Kingdom which read as follows: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“(2) No appeal shall lie under this section except with the leave of the Court below or of the House of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Lords: and such leave shall not be granted unless it is certified by the Court below that a point of law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of general public importance is involved in the decision and it appears to that court or to the House of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Lords, that the point is one which ought to be considered by the House”.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There are decided cases to the effect that the House of Lords could not grant leave under that subsection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without the prior certificate of the Court of Criminal Appeal: See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Gelberg</w:t>
      </w:r>
      <w:proofErr w:type="spell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Miller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[1961] 1 All ER 291.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We agree with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Kabega</w:t>
      </w:r>
      <w:proofErr w:type="spell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that the decision in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Mpanga</w:t>
      </w:r>
      <w:proofErr w:type="spell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case (</w:t>
      </w: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supra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) is irrelevant to the application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before us. That case was decided in 1994 before the Judicature Statute (Statute 13 of 1996) and the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current rules of the Supreme Court were enacted in 1996. By 1994 when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Mpanga</w:t>
      </w:r>
      <w:proofErr w:type="spell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case was decided there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were no provisions in our law similar to section 6(5) or rule 37(1</w:t>
      </w:r>
      <w:proofErr w:type="gram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). The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Mpanga</w:t>
      </w:r>
      <w:proofErr w:type="spell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appeal was a second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appeal which required no leave to institute it. In that regard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Mpanga</w:t>
      </w:r>
      <w:proofErr w:type="spell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case is not helpful. Even if the case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were relevant, facts are more distinguishable from the facts of the present case.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Under subsection (5) of section 6, this Court will grant leave if the Court, in its overall duty to see that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one word justice is done, considers that the appeal should be heard. In other words this Court is not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bound by the restrictions placed on the Court of Appeal, when that court is considering an application for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a certificate. The Court of Appeal grants a certificate where it is satisfied: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“(</w:t>
      </w: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) that the matter raises a question or questions of law of great public importance; or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) that the matter raises a question or questions of law of general importance”.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On the other hand, this Court will grant leave if it considers that in order to do justice the appeal should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be heard. Anything relevant to doing justice will be considered including questions of law of general or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public importance.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It appears to us that in deciding whether or not to grant leave we are not restricted to questions of law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like the Court of Appeal. We have power to consider other matters.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In that case we do not with respect agree with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Wamasebu</w:t>
      </w:r>
      <w:proofErr w:type="spell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that the applicant must necessarily show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that a certificate should be given.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We have not been able to lay our hands on any decided authority from Uganda or any other East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African jurisdictions, which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lastRenderedPageBreak/>
        <w:t>illustrates what constitutes “matters of public or general importance” or “a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question of law of great public or general importance”.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We have looked at </w:t>
      </w: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Rex </w:t>
      </w:r>
      <w:proofErr w:type="gram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v</w:t>
      </w:r>
      <w:proofErr w:type="gram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Mohamed Shah s/o Lal Shah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[1939] 6 EACA 103 where the East African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Court of Appeal dismissed an appeal against conviction for murder. The appellant sought leave to appeal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to the Privy Council by virtue of article 3(</w:t>
      </w: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) of the Eastern African (Appeals to Privy Council) Order in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Council, 1921. The article is not available to us but judging from the judgment in the case, and the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Judicial Committee Rules, 1954, we surmise that the article generally required all intending appellants to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seek leave of the East Africa Court of Appeal or the Privy Council itself and obtain such leave before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lodging an appeal. In the application the affidavit in support of the application for leave was sworn by a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counsel for the applicant. In the affidavit, counsel averred that he believed that questions arising from the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Judgment of the Court were of great general and public importance and also of great importance in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connection with the conduct of criminal trials in the Colony of Kenya. Counsel cited in his affidavit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instances which constantly arise in many criminal trials in courts in Kenya and elsewhere. Because of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this the East Africa Court of Appeal refused leave on the ground that assuming article 3(</w:t>
      </w: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) applied, the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Court must be guided by the test as to whether the questions involved are of great general or public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importance rather than the matters which must constantly occur in criminal trials. The Court did not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discuss </w:t>
      </w:r>
      <w:proofErr w:type="gram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what is a question of great general or public importance to be of help</w:t>
      </w:r>
      <w:proofErr w:type="gramEnd"/>
      <w:r w:rsidRPr="0045672D">
        <w:rPr>
          <w:rFonts w:ascii="Times New Roman" w:hAnsi="Times New Roman" w:cs="Times New Roman"/>
          <w:color w:val="000000"/>
          <w:sz w:val="24"/>
          <w:szCs w:val="24"/>
        </w:rPr>
        <w:t>. But the inference we draw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from the brief ruling is that the question should be sufficiently general or public in application, as would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need settlement or clarification by a higher appellate court.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It may be that the expressions we are discussing have not been defined by statutes because each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expression covers many circumstances which when considered in a particular case can constitute a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“question of great general or public importance”.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In England section 33(2) of the Criminal Appeal Act, 1968 makes provision closer to our section 6(5).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 said section 33(2), states that: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“2. The appeal lies (to the House of Lords) only with the leave of the Court of Appeal or the House of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Lords: and leave shall not be granted unless it is certified by the Court of Appeal that a point of law of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general public importance is involved in the decision and it appears to the Court of Appeal or the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House of Lords (as the case may be) that the point is one which ought to be considered by the House”.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 v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Daines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 v Williams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[1961] 1 All ER 290, the Court of Criminal Appeal (UK) considered the two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applications for leave to appeal to the House of Lords under section 1(2) of Administration of Justice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Act, 1960 which is identical to section 33(2) of the Criminal Appeal Act, 1968 (</w:t>
      </w: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supra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). The application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sought a certificate that a point of law of general public importance was involved. The ruling is very brief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and does not explain what </w:t>
      </w:r>
      <w:proofErr w:type="gram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is a point of law of general public importance</w:t>
      </w:r>
      <w:proofErr w:type="gramEnd"/>
      <w:r w:rsidRPr="0045672D">
        <w:rPr>
          <w:rFonts w:ascii="Times New Roman" w:hAnsi="Times New Roman" w:cs="Times New Roman"/>
          <w:color w:val="000000"/>
          <w:sz w:val="24"/>
          <w:szCs w:val="24"/>
        </w:rPr>
        <w:t>. But it appears that the issue in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 appeal was a misdirection of the jury by the chairman on corroboration. This was deemed an ordinary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matter and not a question of great public importance.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Ashdon</w:t>
      </w:r>
      <w:proofErr w:type="spell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Republic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[1973] 58 Cr App R 339 the Court of criminal appeal considered an application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under section 33(2) of the Act of 1968 whether or not a point of sentencing policy may constitute a point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of law which can be certified as of general public importance if no reasonable tribunal could have passed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 sentence. In that case the Court of criminal appeal referred to a number of decided cases where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certification was either given or refused.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 Court then concluded that where the trial Judge has passed a sentence, which was within his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discretion, no point of law of general public importance could arise for the purpose of an appeal against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such sentence. The Court did not state as to what should be regarded as a point of law of general public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importance. But an instructive example is the case of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Verrier</w:t>
      </w:r>
      <w:proofErr w:type="spell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DPP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[1966] 50 Cr App R 315. That was a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case where a conspiracy to commit an offence of obtaining by false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pretences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was charged. The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substantive offence carried a maximum sentence of five years’ imprisonment. On conviction of the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conspiracy charge, the trial Judge imposed upon the accused a sentence of seven years’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lastRenderedPageBreak/>
        <w:t>imprisonment.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Upon the matter going to the Court of Criminal Appeal, the Court dismissed the appeal but it certified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that a point of law of general public importance was involved in their dismissal of the appeal against the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seven years sentence. The certificate stated: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“Whether in the proper exercise of judicial discretion a court can pass a sentence exceeding five years’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imprisonment for conspiracy to defraud by false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pretences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in a case where, had the conspiracy been carried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out, there could only have been one charge of obtaining by false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pretences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>”.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All the English Court decisions we have referred to which arise from the provision of the 1960 and 1968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Acts relate to questions of law. The provisions in section 6(5) of Statute 13 of 1996 and rule 37(1</w:t>
      </w:r>
      <w:proofErr w:type="gram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) do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not restrict us to questions of law only.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 issue we are required to decide is whether or not the application has or has not raised such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matters as are contemplated by section 6(5) or rule 37(1</w:t>
      </w:r>
      <w:proofErr w:type="gram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) upon which we can say that we want justice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to be done in the case from which this application springs.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 matters raised by the applicant before us were in our view, properly dealt with by the Court and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we are unable to fault that Court.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However, we note that the applicant was charged with and prosecuted for and convicted on two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counts, already mentioned, in which the facts arise from the same transaction. The charge-sheet on which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 applicant was charged with the two offences shows that the two counts are based on the same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transactions which occurred between June 1992 and July 1993, that is, signing Bank of Uganda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cheques</w:t>
      </w:r>
      <w:proofErr w:type="spellEnd"/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amounting to </w:t>
      </w:r>
      <w:proofErr w:type="spellStart"/>
      <w:r w:rsidRPr="0045672D">
        <w:rPr>
          <w:rFonts w:ascii="Times New Roman" w:hAnsi="Times New Roman" w:cs="Times New Roman"/>
          <w:color w:val="000000"/>
          <w:sz w:val="24"/>
          <w:szCs w:val="24"/>
        </w:rPr>
        <w:t>UShs</w:t>
      </w:r>
      <w:proofErr w:type="spellEnd"/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89 036 431. Therefore the question we have had to ask is whether it was proper to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convict and to sentence her for the two offences which arise from the same facts? In that regard section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20 of the Penal Code Act and section 39 of the Interpretation Decree 1976 are pertinent. Section 20 reads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as follows: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“A person shall not be punished twice either under the provisions of this code or under the provisions of any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other law for the same offence”.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There is a wealth of decisions to support the principle embodied in the above provision namely that if the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facts of a case disclose one act and no more, an accused cannot be punished twice for that act. Because of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 conclusions we have reached, we find it unnecessary to refer to more than two of those cases.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Republic v Dobbs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[1951] 18 EACA 319, the accused, a District Officer, was convicted of (1) stealing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of government trophies by a person in public service, and (2) unlawful possession of the same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government trophies. He was sentenced on each count. On appeal it was held that taking into account the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accused’s official position the charge of being in unlawful possession of game trophies must have failed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had the prosecution not been able to prove an act of conversion. Accordingly the two offences flowed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from the same act. The accused had thus been punished twice for the same act.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Santokh</w:t>
      </w:r>
      <w:proofErr w:type="spell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Singh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Kehar</w:t>
      </w:r>
      <w:proofErr w:type="spell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Republic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[1955] 22 EACA 440 accused was convicted and sentenced to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consecutive sentences on two counts (1) of attempting between certain dates to procure A to destroy the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depositions required in certain Supreme Court proceedings and (2) of attempting between the same dates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to procure A to steal the same depositions. His desire was to achieve the destruction of the depositions to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prevent their being used in a Supreme Court trial. There was no finding by the trial Magistrate that there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were separate solicitations to steal and to destroy. On appeal it was held that accused had been punished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twice for the same act, it not having been shown that there were distinct acts of solicitation.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These and many more authorities arise from the three East African Jurisdictions including that of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Uganda. The appeals related to provisions identical with section 20 of our Penal Code. Similar reasoning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arises from section 39 of Interpretation Decree, 1976. The provisions of section 39 of the Interpretation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Decree 1976 read as follows: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“39. Where an act constitutes an offence under two or more enactments, then the offender shall be liable to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be prosecuted and punished under either or any of those enactments, but shall not be liable to be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punished twice for the same offence”.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The Kenya High Court interpreted a similar provision in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Muiruri</w:t>
      </w:r>
      <w:proofErr w:type="spell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Republic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[1973] EA 86. The appellant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was charged with shop breaking and theft clause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lastRenderedPageBreak/>
        <w:t>306 of the Penal Code of Kenya. In the course of the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trial a second count of robbery with violence clause 296 of the Penal Code was added. The facts showed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that the offences were based on the same incident. He was convicted and sentenced to five years and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eighteen years respectively. On appeal the appellate court held that, by virtues of section 63 of Kenya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Interpretation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45672D">
        <w:rPr>
          <w:rFonts w:ascii="Times New Roman" w:hAnsi="Times New Roman" w:cs="Times New Roman"/>
          <w:color w:val="000000"/>
          <w:sz w:val="24"/>
          <w:szCs w:val="24"/>
        </w:rPr>
        <w:t>and General Provisions Act, the accused can neither be convicted nor sentenced on two charges where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the same act is an offence under different laws. The Court approved </w:t>
      </w: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Republic v Dobbs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supra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 Kenyan provision (section 63) reads as follows: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“63 Where an act or omission constitutes an offence under two or more written laws, the offender shall,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unless a contrary intention appears, be liable to be prosecuted and punished under any of such laws,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but shall not be liable to be punished twice for the same offence”.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Although counsel for the applicant did not raise the matter pertaining to section 20 and section 39 before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us or indeed before the Court of Appeal, we consider that in order to do justice in this case, in the light of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the provisions of section 20 of Penal Code, and section 39 of the Interpretation Decree, 1976, we think</w:t>
      </w:r>
      <w:r w:rsidR="0045672D"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>that the applicant is entitled to a review of the case by this Court. Therefore the application is allowed.</w:t>
      </w:r>
    </w:p>
    <w:p w:rsidR="005E47F9" w:rsidRPr="0045672D" w:rsidRDefault="005E47F9" w:rsidP="005E4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672D">
        <w:rPr>
          <w:rFonts w:ascii="Times New Roman" w:hAnsi="Times New Roman" w:cs="Times New Roman"/>
          <w:color w:val="000000"/>
          <w:sz w:val="24"/>
          <w:szCs w:val="24"/>
        </w:rPr>
        <w:t>For the applicant:</w:t>
      </w:r>
    </w:p>
    <w:p w:rsidR="005E47F9" w:rsidRPr="0045672D" w:rsidRDefault="005E47F9" w:rsidP="005E4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Kabega</w:t>
      </w:r>
      <w:proofErr w:type="spell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45672D">
        <w:rPr>
          <w:rFonts w:ascii="Times New Roman" w:hAnsi="Times New Roman" w:cs="Times New Roman"/>
          <w:color w:val="000000"/>
          <w:sz w:val="24"/>
          <w:szCs w:val="24"/>
        </w:rPr>
        <w:t xml:space="preserve">instructed by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Tumusiime</w:t>
      </w:r>
      <w:proofErr w:type="spell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Kabega</w:t>
      </w:r>
      <w:proofErr w:type="spellEnd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&amp; Co</w:t>
      </w:r>
    </w:p>
    <w:p w:rsidR="005E47F9" w:rsidRPr="0045672D" w:rsidRDefault="005E47F9" w:rsidP="005E4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672D">
        <w:rPr>
          <w:rFonts w:ascii="Times New Roman" w:hAnsi="Times New Roman" w:cs="Times New Roman"/>
          <w:color w:val="000000"/>
          <w:sz w:val="24"/>
          <w:szCs w:val="24"/>
        </w:rPr>
        <w:t>For the respondent:</w:t>
      </w:r>
    </w:p>
    <w:p w:rsidR="0021070D" w:rsidRPr="0045672D" w:rsidRDefault="005E47F9" w:rsidP="005E47F9">
      <w:pPr>
        <w:rPr>
          <w:rFonts w:ascii="Times New Roman" w:hAnsi="Times New Roman" w:cs="Times New Roman"/>
          <w:sz w:val="24"/>
          <w:szCs w:val="24"/>
        </w:rPr>
      </w:pPr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 </w:t>
      </w:r>
      <w:proofErr w:type="spellStart"/>
      <w:r w:rsidRPr="004567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Wamasebu</w:t>
      </w:r>
      <w:proofErr w:type="spellEnd"/>
    </w:p>
    <w:sectPr w:rsidR="0021070D" w:rsidRPr="0045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F9"/>
    <w:rsid w:val="0021070D"/>
    <w:rsid w:val="0045672D"/>
    <w:rsid w:val="005E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21695-428A-44D4-BD24-F631B2F0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3382</Words>
  <Characters>19282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2018-07-04T12:46:00Z</dcterms:created>
  <dcterms:modified xsi:type="dcterms:W3CDTF">2018-07-13T16:28:00Z</dcterms:modified>
</cp:coreProperties>
</file>