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F0" w:rsidRDefault="00787FF0" w:rsidP="00452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Narok County Council v Trans Mara County Council</w:t>
      </w:r>
    </w:p>
    <w:p w:rsidR="00787FF0" w:rsidRDefault="00787FF0" w:rsidP="00452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787FF0" w:rsidRDefault="00787FF0" w:rsidP="00452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April 2000</w:t>
      </w:r>
    </w:p>
    <w:p w:rsidR="00787FF0" w:rsidRDefault="00787FF0" w:rsidP="00452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25/</w:t>
      </w:r>
    </w:p>
    <w:p w:rsidR="00787FF0" w:rsidRDefault="00787FF0" w:rsidP="00452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Kwach, Akiwumi and O’kubasu JJA</w:t>
      </w:r>
    </w:p>
    <w:p w:rsidR="00787FF0" w:rsidRDefault="00787FF0" w:rsidP="00452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787FF0" w:rsidRDefault="00787FF0" w:rsidP="00452A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787FF0" w:rsidRDefault="00787FF0" w:rsidP="0078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High Court – Jurisdiction – Local authorities – Dispute – Apportionment of assets between two local</w:t>
      </w:r>
    </w:p>
    <w:p w:rsidR="00787FF0" w:rsidRDefault="00787FF0" w:rsidP="0078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authorities – Apportionment to be on a fair and equitable basis as agreed between parties – Statute –</w:t>
      </w:r>
    </w:p>
    <w:p w:rsidR="00787FF0" w:rsidRDefault="00787FF0" w:rsidP="0078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Power to apportion where there is no agreement conferred on Minister by statute – Whether High Court</w:t>
      </w:r>
    </w:p>
    <w:p w:rsidR="00787FF0" w:rsidRDefault="00787FF0" w:rsidP="0078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has jurisdiction to determine dispute – Whether High Court’s jurisdiction ousted by statute –</w:t>
      </w:r>
    </w:p>
    <w:p w:rsidR="00787FF0" w:rsidRDefault="00787FF0" w:rsidP="0078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section 60 – Local Government Act Chapter 265 sections 5, 28, 269, 270 and 399.</w:t>
      </w:r>
    </w:p>
    <w:p w:rsidR="00787FF0" w:rsidRDefault="00787FF0" w:rsidP="0078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52A42" w:rsidRDefault="00787FF0" w:rsidP="0045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11 August 1994, the Minister for Local Government acting pursuant to powers conferred upon him by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sections 5, 28 and 399 of the Local Government Act carved the Trans Mara County Council out of the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territory of the Narok County Council and established it as an independent local authority. A dispute then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arose between the two councils regarding the distribution of various assets and liabilities, including the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entry fees collected from five lodges. Following a failure to resolve the dispute amicably, on 11 January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1996 Trans Mara filed a suit in the High Court against Narok and Kenya Association of Tour Operators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seeking,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a sum of KShs 69 362 400 being monies collected by the latter from the lodges in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on behalf of Narok. Trans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Mara claimed,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that, having been established as an independent council, it was entitled to its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 under the agreement between Narok and Kenya Association of Tour Operators and to the entry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fees collected by Kenya Association of Tour Operators from the five lodges. Narok conceded that it had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remitted the disputed sum to Trans Mara but contended that the suit was premature as mutual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deliberations regarding the alleged indebtedness were still going on. On 2 February 1996, Narok filed a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seeking the dismissal of the suit on the grounds that it was incompetent,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misconceived and that the provisions of section 270(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Local Government Act Chapter 265 had not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complied with. On 15 March 1996, the court issued a ruling dismissing the objection on the ground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Section 60 of the Constitution conferred unlimited jurisdiction on the High Court and that there was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in either section 270 or the Local Government Act as a whole to oust the court’s jurisdiction to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 disputes between local authorities. On 2 May 1997, the Local Government Minister, acting under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conferred upon him by the Act, set up a commission to deal with the distribution of the assets and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liabilities of various local authorities, including the Narok and Trans Mara councils. Trans Mara’s suit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eventually heard between 28 October 1997 and 30 March 1998 with judgment being delivered on 4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June 1998. In its judgment, the court made various orders distributing the assets and liabilities between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local authorities. Narok appealed primarily on the ground that the proceedings were a nullity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 court had no jurisdiction to hear the case.</w:t>
      </w:r>
      <w:r w:rsidR="00452A42">
        <w:rPr>
          <w:rFonts w:ascii="Times New Roman" w:hAnsi="Times New Roman" w:cs="Times New Roman"/>
          <w:color w:val="000000"/>
        </w:rPr>
        <w:t xml:space="preserve"> </w:t>
      </w:r>
    </w:p>
    <w:p w:rsidR="00787FF0" w:rsidRDefault="00787FF0" w:rsidP="00452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Section 270(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of the Local Government Act Chapter 265 provided,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where a part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local government area became a part of a different local government area, the apportionment of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rights, liabilities and assets between the two local authorities concerned would be undertaken on a fair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equitable basis, either as agreed between them or, in default of agreement, as directed by the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Minister. Though section 60 of the Constitution gave the High Court unlimited jurisdiction, it did not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clothe it with jurisdiction to deal with matters that a statute had directed should be done by a Minister as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 of his statutory duty. In the instant case, the statute clearly provided that in default of agreement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two councils, the apportionment of assets and liabilities would be undertaken as directed by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Minister. The jurisdiction of the High Court could only be invoked where the Minister refused to give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direction or, in purporting to do so, arrived at a decision that was grossly unfair or perverse. Where the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refused or neglected to act, the proper course was for either party to apply to the High Court for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compelling the Minister to perform his statutory duty. The Minister’s refusal to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could not confer on either party a right to initiate proceedings in court to determine the apportionment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assets and liabilities. All the High Court could do was enforce, by way of judicial review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proceedings, the implementation of section 270. The trial court therefore erred in apportioning assets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two councils, as it had no jurisdiction to deal with the matter at that stage. The appeal would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be allowed, judgment set aside and the suit struck out.</w:t>
      </w:r>
    </w:p>
    <w:p w:rsidR="00787FF0" w:rsidRDefault="00787FF0" w:rsidP="0078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787FF0" w:rsidRDefault="00787FF0" w:rsidP="00787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 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 and “</w:t>
      </w:r>
      <w:r>
        <w:rPr>
          <w:rFonts w:ascii="Times New Roman" w:hAnsi="Times New Roman" w:cs="Times New Roman"/>
          <w:b/>
          <w:bCs/>
          <w:color w:val="000000"/>
        </w:rPr>
        <w:t>LLR</w:t>
      </w:r>
      <w:r>
        <w:rPr>
          <w:rFonts w:ascii="Times New Roman" w:hAnsi="Times New Roman" w:cs="Times New Roman"/>
          <w:color w:val="000000"/>
        </w:rPr>
        <w:t>” means</w:t>
      </w:r>
      <w:r w:rsidR="00452A4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LawAfrica Law Reports;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64035" w:rsidRDefault="00787FF0" w:rsidP="00787FF0">
      <w:r>
        <w:rPr>
          <w:rFonts w:ascii="Times New Roman" w:hAnsi="Times New Roman" w:cs="Times New Roman"/>
          <w:i/>
          <w:iCs/>
          <w:color w:val="000000"/>
        </w:rPr>
        <w:t xml:space="preserve">Miller v Miller </w:t>
      </w:r>
      <w:r>
        <w:rPr>
          <w:rFonts w:ascii="Times New Roman" w:hAnsi="Times New Roman" w:cs="Times New Roman"/>
          <w:color w:val="000000"/>
        </w:rPr>
        <w:t>[1988] LLR 1914 (CAK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F0"/>
    <w:rsid w:val="00452A42"/>
    <w:rsid w:val="00664035"/>
    <w:rsid w:val="0078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B75ED-CF85-43F9-8C3E-E8999226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2018-07-05T12:19:00Z</dcterms:created>
  <dcterms:modified xsi:type="dcterms:W3CDTF">2018-07-11T18:03:00Z</dcterms:modified>
</cp:coreProperties>
</file>