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National Insurance Corporation v Kafero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1974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29/1974 (3/75)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Ag P, Mustafa and Musoke JJA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Nyamuchoncho, J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Insurance – Motor insurance – Nominal defendant – Notice – </w:t>
      </w:r>
      <w:r>
        <w:rPr>
          <w:rFonts w:ascii="Times New Roman" w:hAnsi="Times New Roman" w:cs="Times New Roman"/>
          <w:color w:val="000000"/>
        </w:rPr>
        <w:t xml:space="preserve">42 </w:t>
      </w:r>
      <w:r>
        <w:rPr>
          <w:rFonts w:ascii="Times New Roman" w:hAnsi="Times New Roman" w:cs="Times New Roman"/>
          <w:i/>
          <w:iCs/>
          <w:color w:val="000000"/>
        </w:rPr>
        <w:t>days’ notice only required – Traffic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and Road Safety Act </w:t>
      </w:r>
      <w:r>
        <w:rPr>
          <w:rFonts w:ascii="Times New Roman" w:hAnsi="Times New Roman" w:cs="Times New Roman"/>
          <w:color w:val="000000"/>
        </w:rPr>
        <w:t>1970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44 (2)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Proceedings against government – Scheduled corporation – Whether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National Insurance Corporation as nominal defendant a scheduled corporation – Civil Procedure and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1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268E6" w:rsidRDefault="00213A4D" w:rsidP="005268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sued the appellant as nominal defendant in respect of injuries caused by an unidentified</w:t>
      </w:r>
      <w:r w:rsidR="005268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vehicle. He had given the notice required by the Traffic and Road Safety Act 1970, s. 44 (2) but</w:t>
      </w:r>
      <w:r w:rsidR="005268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that required by the Civil Procedure and Limitation (Miscellaneous Provisions) Act 1969, s. 1.</w:t>
      </w:r>
      <w:r w:rsidR="005268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held that notice under the latter Act was not required.</w:t>
      </w:r>
      <w:r w:rsidR="005268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</w:t>
      </w:r>
      <w:r w:rsidR="005268E6">
        <w:rPr>
          <w:rFonts w:ascii="Times New Roman" w:hAnsi="Times New Roman" w:cs="Times New Roman"/>
          <w:color w:val="000000"/>
        </w:rPr>
        <w:t xml:space="preserve"> </w:t>
      </w:r>
    </w:p>
    <w:p w:rsidR="005268E6" w:rsidRDefault="005268E6" w:rsidP="005268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13A4D" w:rsidRDefault="00213A4D" w:rsidP="005268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provisions of the Traffic Act are intended to be exclusive and only notice under that Act is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required;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(obiter) (Spry, Ag. P. dissenting) the National Insurance Corporation when sued as nominal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has no status as a scheduled corporation.</w:t>
      </w:r>
    </w:p>
    <w:p w:rsidR="00213A4D" w:rsidRDefault="00213A4D" w:rsidP="0021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E43AAB" w:rsidRDefault="00213A4D" w:rsidP="00213A4D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4D"/>
    <w:rsid w:val="00213A4D"/>
    <w:rsid w:val="005268E6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B3D7-666D-4DA2-A6A2-3A581E0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2018-07-06T12:32:00Z</dcterms:created>
  <dcterms:modified xsi:type="dcterms:W3CDTF">2018-07-13T16:31:00Z</dcterms:modified>
</cp:coreProperties>
</file>