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589" w:rsidRDefault="00077589" w:rsidP="00077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National Insurance Corporation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Kafero</w:t>
      </w:r>
      <w:proofErr w:type="spellEnd"/>
    </w:p>
    <w:p w:rsidR="00077589" w:rsidRDefault="00077589" w:rsidP="00077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077589" w:rsidRDefault="00077589" w:rsidP="00077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077589" w:rsidRDefault="00077589" w:rsidP="00077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October 1974</w:t>
      </w:r>
    </w:p>
    <w:p w:rsidR="00077589" w:rsidRDefault="00077589" w:rsidP="00077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29/1974 (3/75)</w:t>
      </w:r>
    </w:p>
    <w:p w:rsidR="00077589" w:rsidRDefault="00077589" w:rsidP="00077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Mustafa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077589" w:rsidRDefault="00077589" w:rsidP="00077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77589" w:rsidRDefault="00077589" w:rsidP="00077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Uganda – </w:t>
      </w:r>
      <w:proofErr w:type="spellStart"/>
      <w:r>
        <w:rPr>
          <w:rFonts w:ascii="Times New Roman" w:hAnsi="Times New Roman" w:cs="Times New Roman"/>
          <w:color w:val="000000"/>
        </w:rPr>
        <w:t>Nyamuchoncho</w:t>
      </w:r>
      <w:proofErr w:type="spellEnd"/>
      <w:r>
        <w:rPr>
          <w:rFonts w:ascii="Times New Roman" w:hAnsi="Times New Roman" w:cs="Times New Roman"/>
          <w:color w:val="000000"/>
        </w:rPr>
        <w:t>, J</w:t>
      </w:r>
    </w:p>
    <w:p w:rsidR="00077589" w:rsidRDefault="00077589" w:rsidP="00077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Insurance – Motor insurance – Nominal defendant – Notice – </w:t>
      </w:r>
      <w:r>
        <w:rPr>
          <w:rFonts w:ascii="Times New Roman" w:hAnsi="Times New Roman" w:cs="Times New Roman"/>
          <w:color w:val="000000"/>
        </w:rPr>
        <w:t xml:space="preserve">42 </w:t>
      </w:r>
      <w:r>
        <w:rPr>
          <w:rFonts w:ascii="Times New Roman" w:hAnsi="Times New Roman" w:cs="Times New Roman"/>
          <w:i/>
          <w:iCs/>
          <w:color w:val="000000"/>
        </w:rPr>
        <w:t>days’ notice only required – Traffic</w:t>
      </w:r>
    </w:p>
    <w:p w:rsidR="00077589" w:rsidRDefault="00077589" w:rsidP="00077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and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Road Safety Act </w:t>
      </w:r>
      <w:r>
        <w:rPr>
          <w:rFonts w:ascii="Times New Roman" w:hAnsi="Times New Roman" w:cs="Times New Roman"/>
          <w:color w:val="000000"/>
        </w:rPr>
        <w:t>1970</w:t>
      </w:r>
      <w:r>
        <w:rPr>
          <w:rFonts w:ascii="Times New Roman" w:hAnsi="Times New Roman" w:cs="Times New Roman"/>
          <w:i/>
          <w:iCs/>
          <w:color w:val="000000"/>
        </w:rPr>
        <w:t xml:space="preserve">, s. </w:t>
      </w:r>
      <w:r>
        <w:rPr>
          <w:rFonts w:ascii="Times New Roman" w:hAnsi="Times New Roman" w:cs="Times New Roman"/>
          <w:color w:val="000000"/>
        </w:rPr>
        <w:t>44 (2)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</w:p>
    <w:p w:rsidR="00077589" w:rsidRDefault="00077589" w:rsidP="00077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Limitation of Actions – Proceedings against government – Scheduled corporation – Whether</w:t>
      </w:r>
    </w:p>
    <w:p w:rsidR="00077589" w:rsidRDefault="00077589" w:rsidP="00077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National Insurance Corporation as nominal defendant a scheduled corporation – Civil Procedure and</w:t>
      </w:r>
    </w:p>
    <w:p w:rsidR="00077589" w:rsidRDefault="00077589" w:rsidP="00077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Limitation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Miscellaneous Provisions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Act </w:t>
      </w:r>
      <w:r>
        <w:rPr>
          <w:rFonts w:ascii="Times New Roman" w:hAnsi="Times New Roman" w:cs="Times New Roman"/>
          <w:color w:val="000000"/>
        </w:rPr>
        <w:t xml:space="preserve">1969, </w:t>
      </w:r>
      <w:r>
        <w:rPr>
          <w:rFonts w:ascii="Times New Roman" w:hAnsi="Times New Roman" w:cs="Times New Roman"/>
          <w:i/>
          <w:i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. 1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</w:p>
    <w:p w:rsidR="00077589" w:rsidRDefault="005B1A4B" w:rsidP="00077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B1A4B" w:rsidRDefault="00077589" w:rsidP="005B1A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  <w:r>
        <w:rPr>
          <w:rFonts w:ascii="Times New Roman" w:hAnsi="Times New Roman" w:cs="Times New Roman"/>
          <w:b/>
          <w:bCs/>
          <w:color w:val="000000"/>
        </w:rPr>
        <w:t xml:space="preserve">Spry Ag P: </w:t>
      </w:r>
      <w:r>
        <w:rPr>
          <w:rFonts w:ascii="Times New Roman" w:hAnsi="Times New Roman" w:cs="Times New Roman"/>
          <w:color w:val="000000"/>
        </w:rPr>
        <w:t>This is an appeal from a decision of the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given on a preliminary objection. The respondent filed a suit against the appellant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corporation, as nominal defendant under s. 40 of the Traffic and Road Safety Act 1970, to which I shall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 as the Traffic Act, claiming damages for injuries he received when, as a pedestrian, he was struck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an unidentified motor vehicle. It is accepted, for the purpose of this appeal, that the respondent gave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notice required by s. 44 (2) of that Act.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preliminary objection was taken that the plaint was incompetent because there had been no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compliance with the requirements of s. 1 of the Civil Procedure and Limitation (Miscellaneous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Provisions) Act 1969 (Act 20 of 1969). For convenience, I shall refer to that statute as Act 20.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do not think it necessary to set out in full the provisions of these statutes </w:t>
      </w:r>
      <w:proofErr w:type="gramStart"/>
      <w:r>
        <w:rPr>
          <w:rFonts w:ascii="Times New Roman" w:hAnsi="Times New Roman" w:cs="Times New Roman"/>
          <w:color w:val="000000"/>
        </w:rPr>
        <w:t>Briefly</w:t>
      </w:r>
      <w:proofErr w:type="gramEnd"/>
      <w:r>
        <w:rPr>
          <w:rFonts w:ascii="Times New Roman" w:hAnsi="Times New Roman" w:cs="Times New Roman"/>
          <w:color w:val="000000"/>
        </w:rPr>
        <w:t>, s. 1 of Act 20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provides,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no one may sue a scheduled corporation, and the National Insurance Corporation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 scheduled corporation, until after the expiration of sixty days from the giving of notice containing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certain prescribed particulars. The Traffic Act provides, by s. 44 (1),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a person who suffers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bodily injury from a vehicle the identity of which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 established after reasonable inquiries may, by suing the National Insurance Corporation as a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nominal defendant, recover compensation from a statutory fund. S. 44 (2) provides that a person shall not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entitled to recover unless within forty-two days of the accident, he has given notice containing certain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prescribed particulars, and there is provision for extension of that period. The particulars required in a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to comply with s. 44 (2) overlap, to some extent, but are not identical with those required by s. 1 of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20.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short point for decision in this appeal is whether or not a person wishing to sue the National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Insurance Corporation as nominal defendant is required to give notice both under s. 1 of Act 20 and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s. 44 (2) of the Traffic Act.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 held that actions against the nominal defendant should be governed by s. 44. He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that the nominal defendant was to be regarded as a different person from the National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Insurance Corporation, the name of which was used “merely for convenience”. He said: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am inclined to the view that when the nominal defendant issued a notice given pursuant to section 44 of</w:t>
      </w:r>
      <w:r w:rsidR="005B1A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Traffic Act is all that is required. If I am mistaken in this, I would still hold that a notice given under</w:t>
      </w:r>
      <w:r w:rsidR="005B1A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44 to the nominal defendant satisfies the requirement of section 1 of Act 20 of 1969 by virtue of</w:t>
      </w:r>
      <w:r w:rsidR="005B1A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44 of the Interpretation Act.”</w:t>
      </w:r>
      <w:r w:rsidR="005B1A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Katende</w:t>
      </w:r>
      <w:proofErr w:type="spellEnd"/>
      <w:r>
        <w:rPr>
          <w:rFonts w:ascii="Times New Roman" w:hAnsi="Times New Roman" w:cs="Times New Roman"/>
          <w:color w:val="000000"/>
        </w:rPr>
        <w:t>, who appeared for the appellant corporation and who presented his arguments most clearly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persuasively, submitted that the notices required under the two Acts are different in character and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 and that one could not be a substitute for the other. The information they are required to furnish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not identical. The periods prescribed are different and, which is perhaps more important, the one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 a maximum period after the accident within which notice is to be given and the other a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minimum period between notice and suit. He argued that there is no conflict or incompatibility between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provisions and no reason why both should not be complied with. The Traffic Act contains no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 repeal or abrogation of Act 20 and the courts always lean against implied repeal, except when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such repugnancy that two provisions cannot stand together.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say at once that I reject the suggestion that a notice under s. 44 (2) of the Traffic Act can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satisfy the requirements of s. 1 of Act 20, because the character of the one notice is so essentially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 from that of the other.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also not persuaded that the fact that the appellant corporation is a nominal defendant only is, of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itself, a reason for saying that s. 1 of Act 20 need not be </w:t>
      </w:r>
      <w:r>
        <w:rPr>
          <w:rFonts w:ascii="Times New Roman" w:hAnsi="Times New Roman" w:cs="Times New Roman"/>
          <w:color w:val="000000"/>
        </w:rPr>
        <w:lastRenderedPageBreak/>
        <w:t>complied with. It is quite true, as the judge said,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status of the appellant corporation is that of a trustee and that it satisfies any judgments given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it under s. 44 of the Traffic Act out of funds that it administers and not out of its own funds but I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see that that is any reason for depriving it of privileges conferred on it by statute. If the Traffic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contained no procedural provisions, I would have thought that an intending plaintiff would have had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comply with the provisions of s. 1 of Act 20.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see the matter in a somewhat different light. Ss. 40 to 48 of the Traffic Act create rights of action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also contain procedural provisions, including provisions for notice clearly intended to give the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corporation reasonable opportunity to investigate claims while the evidence is still fresh. It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seems to me that the legislature has enacted what amounts, in a small way, to a code, and that its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provisions, including as they do both substantive and procedural law, were intended or must be deemed,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far as they extend, to be exclusive.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Katende</w:t>
      </w:r>
      <w:proofErr w:type="spellEnd"/>
      <w:r>
        <w:rPr>
          <w:rFonts w:ascii="Times New Roman" w:hAnsi="Times New Roman" w:cs="Times New Roman"/>
          <w:color w:val="000000"/>
        </w:rPr>
        <w:t xml:space="preserve"> argued that if the legislature had intended to exclude the provisions of s. 1 of Act 20,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could and would have done so. That is a valid argument, but it can equally be argued, and in my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 with even greater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force, that if the intention had been to preserve the existing requirement of a notice before suit and add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another, admittedly different, requirement of a similar nature, it could without difficulty have been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spelled out.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think, therefore, though for a somewhat different reason, that the judge was correct in his decision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 would dismiss the appeal, with costs. As the other members of the Court agree, although for another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reason, it is so ordered.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of limitation does not arise on this appeal, but in view of certain observations in the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of Mustafa, J.A., which I have had the advantage of reading, I think I should place on record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my opinion that the period of limitation for suits against the National Insurance Corporation as nominal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is that prescribed in s. 2 (1) of Act 20. In the first place, on a strict reading of s. 2 (1) and the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 Schedule, no action founded on tort may be brought against the National Insurance Corporation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the expiration of twelve months from the date on which the cause of action arose. To exclude that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where the Corporation is acting in a particular capacity necessitates the interpolation of words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are not there. Secondly, the Act is clearly designed to give special protection to authorities and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persons performing public functions or duties. I think the Corporation is performing a public duty when it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acts as nominal defendant. I do not think the fact that the Corporation is not liable to pay either damages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costs out of its own funds, affects the question of limitation.</w:t>
      </w:r>
      <w:r w:rsidR="005B1A4B">
        <w:rPr>
          <w:rFonts w:ascii="Times New Roman" w:hAnsi="Times New Roman" w:cs="Times New Roman"/>
          <w:color w:val="000000"/>
        </w:rPr>
        <w:t xml:space="preserve"> </w:t>
      </w:r>
    </w:p>
    <w:p w:rsidR="005B1A4B" w:rsidRDefault="005B1A4B" w:rsidP="005B1A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B1A4B" w:rsidRDefault="00077589" w:rsidP="005B1A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Mustafa JA: </w:t>
      </w:r>
      <w:r>
        <w:rPr>
          <w:rFonts w:ascii="Times New Roman" w:hAnsi="Times New Roman" w:cs="Times New Roman"/>
          <w:color w:val="000000"/>
        </w:rPr>
        <w:t>I have read the judgment prepared by Spry, Ag. P. and agree that the appeal be dismissed.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only point for decision in this appeal is whether a plaintiff suing the National Insurance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Corporation as a nominal defendant for damages under the provisions of the Traffic and Road Safety Act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1970 (hereafter called the Traffic Act) is required to give notice both under s. 44 of the Traffic Act as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well as under s. 1 of the Civil Procedure and Limitation (Miscellaneous Provisions) Act 1969 (hereafter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called Act 20 of 1969).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terms of s. 1 of Act 20 of 1969, a person suing scheduled corporations of which the National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Insurance Corporation is one must give the said scheduled corporation sixty days advance notice of such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intended action. In terms of s. 44 (2) of the Traffic Act, a person suing the National Insurance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Corporation as a nominal defendant must give notice of such intended action within 42 days of the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accident.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case under appeal the respondent had only served notice under the Traffic Act. The trial judge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held that in an action against the National Insurance Corporation as a nominal defendant a plaintiff need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comply with the provisions requiring notice under s. 44 of the Traffic Act. He held, in effect, that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privileges attaching to the National Insurance Corporation as a scheduled corporation embodied in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of Act 20 of 1969 do not attach to it when it is sued as a nominal defendant under the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the Traffic Act. With respect, I think he is right on this point.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view a scheduled corporation, qua scheduled corporation, has certain privileges and partial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immunities under the provisions of Act 20 of 1969. The period of limitation for instance for actions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it for tort is 12 months, not the usual 3 years, see s. 2 (1) of Act 20 of 1969. However as a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nominal defendant under the provisions of the Traffic Act, the National Insurance Corporation would no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longer be clothed with such privileges, but would be in the position of an ordinary litigant. First because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then no longer operates as a scheduled corporation as constituted, in its composition, aims and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functions; it is named the nominal defendant merely for the sake of convenience; any ordinary person or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body could have been so named, and a plaintiff’s rights should not be restrictively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affected by the accident of the National Insurance Corporation being named as such. Secondly because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Traffic Act has </w:t>
      </w:r>
      <w:r>
        <w:rPr>
          <w:rFonts w:ascii="Times New Roman" w:hAnsi="Times New Roman" w:cs="Times New Roman"/>
          <w:color w:val="000000"/>
        </w:rPr>
        <w:lastRenderedPageBreak/>
        <w:t>special provisions granting certain substantive rights as well as laying down a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reasonably comprehensive set of rules of procedure for enforcing such rights. A litigant suing under the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the Traffic Act has to comply only with the provisions of the said Act as regards notice.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concur in the order of Spry, Ag. P.</w:t>
      </w:r>
      <w:r w:rsidR="005B1A4B">
        <w:rPr>
          <w:rFonts w:ascii="Times New Roman" w:hAnsi="Times New Roman" w:cs="Times New Roman"/>
          <w:color w:val="000000"/>
        </w:rPr>
        <w:t xml:space="preserve"> </w:t>
      </w:r>
    </w:p>
    <w:p w:rsidR="005B1A4B" w:rsidRDefault="005B1A4B" w:rsidP="005B1A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7589" w:rsidRDefault="00077589" w:rsidP="005B1A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color w:val="000000"/>
        </w:rPr>
        <w:t>Musoke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I have had the advantage of reading the judgments of Spry, Ag. P., and Mustafa, J.A. and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 that the appeal be dismissed.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question of the statutory notice to be given by an intending litigant for damages in respect of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death or bodily injury caused by unidentified or uninsured motor vehicle under s. 44 of the Traffic and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Road Safety Act (referred to hereinafter as “the Traffic Act”), I share the view of the trial judge that the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statutory notice under s. 1 of the Civil Procedure and Limitation (Miscellaneous Provisions) Act 1969 (to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I shall refer as Act 20) is not necessary.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remedy under s. 44 is a creature of the Traffic Act, which Act also lays down the procedure to be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adopted in enforcing that remedy. Again the notice under s. 1 of Act 20 is mandatory and any failure to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 it would be fatal to any proceedings. On the other hand the notice required under s. 44 of the Traffic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Act, apart from being different in form in certain aspects, is not necessarily mandatory and the Court is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wide powers under subs. (3) to grant leave for an action to be instituted without that notice if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certain conditions are satisfied.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also of the view that when the National Insurance Corporation is sued as a nominal defendant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Traffic Act, it ceases to be a scheduled corporation, for the reasons advanced by Mustafa, J.A.,</w:t>
      </w:r>
      <w:r w:rsidR="005B1A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therefore, the limitation period under Act 20 would not apply.</w:t>
      </w:r>
    </w:p>
    <w:p w:rsidR="00077589" w:rsidRDefault="00077589" w:rsidP="00077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dismissed.</w:t>
      </w:r>
    </w:p>
    <w:p w:rsidR="00077589" w:rsidRDefault="00077589" w:rsidP="00077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077589" w:rsidRDefault="00077589" w:rsidP="00077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JW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Katende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  <w:r>
        <w:rPr>
          <w:rFonts w:ascii="Times New Roman" w:hAnsi="Times New Roman" w:cs="Times New Roman"/>
          <w:color w:val="000000"/>
        </w:rPr>
        <w:t>, Kampala)</w:t>
      </w:r>
    </w:p>
    <w:p w:rsidR="00077589" w:rsidRDefault="00077589" w:rsidP="00077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077589" w:rsidRDefault="00077589" w:rsidP="00077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Ekemu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Kulubya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  <w:r>
        <w:rPr>
          <w:rFonts w:ascii="Times New Roman" w:hAnsi="Times New Roman" w:cs="Times New Roman"/>
          <w:color w:val="000000"/>
        </w:rPr>
        <w:t>, Kampala)</w:t>
      </w:r>
    </w:p>
    <w:p w:rsidR="00E43AAB" w:rsidRDefault="00E43AAB" w:rsidP="00077589"/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89"/>
    <w:rsid w:val="00077589"/>
    <w:rsid w:val="005B1A4B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3E021-D3A6-4AC4-A918-A78A11A1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2018-07-06T12:33:00Z</dcterms:created>
  <dcterms:modified xsi:type="dcterms:W3CDTF">2018-07-13T16:32:00Z</dcterms:modified>
</cp:coreProperties>
</file>