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National Insurance Corporation v Pelican Services Limited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22 February 2006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13/05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Mukasa-Kikonyongo</w:t>
      </w:r>
      <w:proofErr w:type="spellEnd"/>
      <w:r>
        <w:rPr>
          <w:rFonts w:ascii="Times New Roman" w:hAnsi="Times New Roman" w:cs="Times New Roman"/>
          <w:color w:val="000000"/>
        </w:rPr>
        <w:t xml:space="preserve"> DCJ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Taxation of costs – Formula for determining the costs – Factors the taxing officer ought to consider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When court can interfere with the award of costs.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736BB" w:rsidRDefault="00BB1356" w:rsidP="00B736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filed a reference under rule 109 of the Court of Appeal Rules against taxation of the</w:t>
      </w:r>
      <w:r w:rsidR="00B736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respondent’s bill of costs in the total amount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17 910 758.</w:t>
      </w:r>
      <w:r w:rsidR="00B736BB">
        <w:rPr>
          <w:rFonts w:ascii="Times New Roman" w:hAnsi="Times New Roman" w:cs="Times New Roman"/>
          <w:color w:val="000000"/>
        </w:rPr>
        <w:t xml:space="preserve"> </w:t>
      </w:r>
    </w:p>
    <w:p w:rsidR="00B736BB" w:rsidRDefault="00B736BB" w:rsidP="00B736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B1356" w:rsidRDefault="00BB1356" w:rsidP="00B736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There is no mathematical formula for calculating awards in taxation but there are accepted</w:t>
      </w:r>
      <w:r w:rsidR="00B736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principles.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Chandran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Kengrow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Industries Limited </w:t>
      </w:r>
      <w:r>
        <w:rPr>
          <w:rFonts w:ascii="Times New Roman" w:hAnsi="Times New Roman" w:cs="Times New Roman"/>
          <w:color w:val="000000"/>
        </w:rPr>
        <w:t>[2002] LLR 306 (SCU) applied.</w:t>
      </w:r>
      <w:r w:rsidR="00B736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taxing officer has also to observe consistency and must take into account inflation. It is important</w:t>
      </w:r>
      <w:r w:rsidR="00B736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note that he or she has a discretion which the courts trust he or she would exercise judiciously.</w:t>
      </w:r>
      <w:r w:rsidR="00B736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are reluctant to interfere with awards of taxation or costs. The court would interfere with the</w:t>
      </w:r>
      <w:r w:rsidR="00B736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 only if it was so high or low as to cause injustice to the parties. The award must be unreasonable</w:t>
      </w:r>
      <w:r w:rsidR="00B736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excessive to justify interference.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Pramchand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Raichand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v Quarry Services </w:t>
      </w:r>
      <w:r>
        <w:rPr>
          <w:rFonts w:ascii="Times New Roman" w:hAnsi="Times New Roman" w:cs="Times New Roman"/>
          <w:color w:val="000000"/>
        </w:rPr>
        <w:t>[1972] EA 162</w:t>
      </w:r>
      <w:r w:rsidR="00B736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followed).</w:t>
      </w:r>
      <w:r w:rsidR="00B736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award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13 million as costs based on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75 million being the value of the subject matter</w:t>
      </w:r>
      <w:r w:rsidR="00B736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rather high. Although there is no laid down mathematical formula 10% of the value of the subject</w:t>
      </w:r>
      <w:r w:rsidR="00B736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would be preferable. (</w:t>
      </w:r>
      <w:r>
        <w:rPr>
          <w:rFonts w:ascii="Times New Roman" w:hAnsi="Times New Roman" w:cs="Times New Roman"/>
          <w:i/>
          <w:iCs/>
          <w:color w:val="000000"/>
        </w:rPr>
        <w:t xml:space="preserve">Bank of Uganda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Trespert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</w:t>
      </w:r>
      <w:r>
        <w:rPr>
          <w:rFonts w:ascii="Times New Roman" w:hAnsi="Times New Roman" w:cs="Times New Roman"/>
          <w:color w:val="000000"/>
        </w:rPr>
        <w:t xml:space="preserve">civil appeal number 3 of 1997;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Sieteo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B736B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Noble Builders </w:t>
      </w:r>
      <w:r>
        <w:rPr>
          <w:rFonts w:ascii="Times New Roman" w:hAnsi="Times New Roman" w:cs="Times New Roman"/>
          <w:color w:val="000000"/>
        </w:rPr>
        <w:t>civil appeal number 31 of 1993 SCU followed).</w:t>
      </w:r>
      <w:r w:rsidR="00B736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partly successful.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Habre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International </w:t>
      </w:r>
      <w:r>
        <w:rPr>
          <w:rFonts w:ascii="Times New Roman" w:hAnsi="Times New Roman" w:cs="Times New Roman"/>
          <w:color w:val="000000"/>
        </w:rPr>
        <w:t>civil appeal [1999] LLR 73 (SCU)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 General v Uganda Blanket </w:t>
      </w:r>
      <w:r>
        <w:rPr>
          <w:rFonts w:ascii="Times New Roman" w:hAnsi="Times New Roman" w:cs="Times New Roman"/>
          <w:color w:val="000000"/>
        </w:rPr>
        <w:t>civil appeal [1993] LLR 59 (SCU)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Bank of Uganda v Banco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Espanol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 [1999] LLR 74 (SCU)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Bank of Uganda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Trespert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</w:t>
      </w:r>
      <w:r>
        <w:rPr>
          <w:rFonts w:ascii="Times New Roman" w:hAnsi="Times New Roman" w:cs="Times New Roman"/>
          <w:color w:val="000000"/>
        </w:rPr>
        <w:t xml:space="preserve">civil appeal number 3 of 1997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Chandran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Kengrow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Industries Limited </w:t>
      </w:r>
      <w:r>
        <w:rPr>
          <w:rFonts w:ascii="Times New Roman" w:hAnsi="Times New Roman" w:cs="Times New Roman"/>
          <w:color w:val="000000"/>
        </w:rPr>
        <w:t xml:space="preserve">[2002] LLR 306 (SCU)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General Parts (Uganda) Limited v Non Performing Assets Trust </w:t>
      </w:r>
      <w:r>
        <w:rPr>
          <w:rFonts w:ascii="Times New Roman" w:hAnsi="Times New Roman" w:cs="Times New Roman"/>
          <w:color w:val="000000"/>
        </w:rPr>
        <w:t>civil appeal [2000] LLR 1 (SCU)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National Finance Corporation v Pelican Air services Limited </w:t>
      </w:r>
      <w:r>
        <w:rPr>
          <w:rFonts w:ascii="Times New Roman" w:hAnsi="Times New Roman" w:cs="Times New Roman"/>
          <w:color w:val="000000"/>
        </w:rPr>
        <w:t>civil appeal number 15 of 2002</w:t>
      </w:r>
    </w:p>
    <w:p w:rsidR="00BB1356" w:rsidRDefault="00BB1356" w:rsidP="00BB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Pramchand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Raichand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v Quarry Services </w:t>
      </w:r>
      <w:r>
        <w:rPr>
          <w:rFonts w:ascii="Times New Roman" w:hAnsi="Times New Roman" w:cs="Times New Roman"/>
          <w:color w:val="000000"/>
        </w:rPr>
        <w:t xml:space="preserve">[1972] EA 162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AB7022" w:rsidRDefault="00BB1356" w:rsidP="00BB1356">
      <w:proofErr w:type="spellStart"/>
      <w:r>
        <w:rPr>
          <w:rFonts w:ascii="Times New Roman" w:hAnsi="Times New Roman" w:cs="Times New Roman"/>
          <w:i/>
          <w:iCs/>
          <w:color w:val="000000"/>
        </w:rPr>
        <w:t>Sieteo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Noble Builders </w:t>
      </w:r>
      <w:r>
        <w:rPr>
          <w:rFonts w:ascii="Times New Roman" w:hAnsi="Times New Roman" w:cs="Times New Roman"/>
          <w:color w:val="000000"/>
        </w:rPr>
        <w:t xml:space="preserve">Supreme Court civil appeal number 31 of 1993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56"/>
    <w:rsid w:val="00AB7022"/>
    <w:rsid w:val="00B736BB"/>
    <w:rsid w:val="00BB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66140-AF6F-467E-AC93-C8719D4B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2018-07-05T06:55:00Z</dcterms:created>
  <dcterms:modified xsi:type="dcterms:W3CDTF">2018-07-13T16:32:00Z</dcterms:modified>
</cp:coreProperties>
</file>