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National Insurance Corporation v Pelican Services Limited</w:t>
      </w:r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22 February 2006</w:t>
      </w:r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13/05</w:t>
      </w:r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Mukasa-Kikonyongo</w:t>
      </w:r>
      <w:proofErr w:type="spellEnd"/>
      <w:r>
        <w:rPr>
          <w:rFonts w:ascii="Times New Roman" w:hAnsi="Times New Roman" w:cs="Times New Roman"/>
          <w:color w:val="000000"/>
        </w:rPr>
        <w:t xml:space="preserve"> DCJ</w:t>
      </w:r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Taxation of costs – Formula for determining the costs – Factors the taxing officer ought to consider</w:t>
      </w:r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When court can interfere with the award of costs.</w:t>
      </w:r>
    </w:p>
    <w:p w:rsidR="008F6BC6" w:rsidRDefault="00C82993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8F6BC6" w:rsidRDefault="008F6BC6" w:rsidP="00C829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DCJ: </w:t>
      </w:r>
      <w:r>
        <w:rPr>
          <w:rFonts w:ascii="Times New Roman" w:hAnsi="Times New Roman" w:cs="Times New Roman"/>
          <w:color w:val="000000"/>
        </w:rPr>
        <w:t>This is a reference to me as single judge under rule 109 of the Rules of this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It is from the decision of the Assistant Registrar of this Court as taxing officer in civil appeal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15 of 2002, between the </w:t>
      </w:r>
      <w:r>
        <w:rPr>
          <w:rFonts w:ascii="Times New Roman" w:hAnsi="Times New Roman" w:cs="Times New Roman"/>
          <w:i/>
          <w:iCs/>
          <w:color w:val="000000"/>
        </w:rPr>
        <w:t>National Finance Corporation v Pelican Air Services Limited</w:t>
      </w:r>
      <w:r>
        <w:rPr>
          <w:rFonts w:ascii="Times New Roman" w:hAnsi="Times New Roman" w:cs="Times New Roman"/>
          <w:color w:val="000000"/>
        </w:rPr>
        <w:t>. It was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filed by way of notice of motion. It is supported by the affidavit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to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>, learned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representing the applicant. When the motion was called for hearing before this Court on 22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October 2005, the respondent had no representation. From the affidavit of service, the court noted that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Shonubi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learned Counsel for the respondent had been duly served but opted not to attend and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gave no reason for his non-attendance. On the application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of the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reference proceeded </w:t>
      </w:r>
      <w:r>
        <w:rPr>
          <w:rFonts w:ascii="Times New Roman" w:hAnsi="Times New Roman" w:cs="Times New Roman"/>
          <w:i/>
          <w:iCs/>
          <w:color w:val="000000"/>
        </w:rPr>
        <w:t>ex parte.</w:t>
      </w:r>
      <w:r w:rsidR="00C829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background of the application is that, the applicant lost to the respondent in the above-mentioned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appeal. Counsel for the respondent filed his bill of costs as corrected by the taxing officer at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29 910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758. Subsequently the assistant registrar allowed instruction fee at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13 million and VAT at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515 358 to make a total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17 910 758. Aggrieved by the said award the applicant instructed its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>, to apply for a reference to a single judge, hence this reference.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two grounds of the reference and read as follows: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color w:val="000000"/>
        </w:rPr>
        <w:t>T he</w:t>
      </w:r>
      <w:proofErr w:type="spellEnd"/>
      <w:r>
        <w:rPr>
          <w:rFonts w:ascii="Times New Roman" w:hAnsi="Times New Roman" w:cs="Times New Roman"/>
          <w:color w:val="000000"/>
        </w:rPr>
        <w:t xml:space="preserve"> amount in item one of the respondent’s bill of costs which was taxed and allowed at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13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 was manifestly excessive and contrary to the law and principle and should be reduced.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color w:val="000000"/>
        </w:rPr>
        <w:t>T he</w:t>
      </w:r>
      <w:proofErr w:type="spellEnd"/>
      <w:r>
        <w:rPr>
          <w:rFonts w:ascii="Times New Roman" w:hAnsi="Times New Roman" w:cs="Times New Roman"/>
          <w:color w:val="000000"/>
        </w:rPr>
        <w:t xml:space="preserve"> amount for VAT in that bill of costs which was taxed by the same taxing officer and allowed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4 515 358 was also manifestly excessive and contrary to the law and principle and should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reduced.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21 July 2005,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conferencing notes and his legal arguments which he adopted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during the hearing in addition to his brief reply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Shonubi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conferencing notes and legal arguments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reply.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complaint on the first ground was that the taxing officer had exaggerated the considerations on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she based the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13 million allowed as instruction fee.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given the value of the subject matter which was only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75 million the award was unreasonable and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excessive. In support of his arguments, he relied on several authorities including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Chandran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Kengrow</w:t>
      </w:r>
      <w:proofErr w:type="spellEnd"/>
      <w:r w:rsidR="00C829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Industries Limited </w:t>
      </w:r>
      <w:r>
        <w:rPr>
          <w:rFonts w:ascii="Times New Roman" w:hAnsi="Times New Roman" w:cs="Times New Roman"/>
          <w:color w:val="000000"/>
        </w:rPr>
        <w:t>[2002] LLR 306 (SCU).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regard to the second ground it was the contention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taxing officer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not have allowed VAT. VAT is not fees and in the instant case there was no disbursements.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relied on paragraph four of the third schedule of the Court of Appeal Rules which reads as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Receipts for all disbursements shall be produced to a taxing officer at the time of taxation.</w:t>
      </w:r>
      <w:r w:rsidR="00C829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No disbursement shall be allowed which has not been paid at the time of taxation.”</w:t>
      </w:r>
      <w:r w:rsidR="00C829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reasoning for the VAT allowed was wrong because no VAT was paid. In any case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it had been proved it was calculated on a wrong figure. The rate should have been 17% of the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total fees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25 132 400 claimed in the bill of costs. The taxing officer should have reduced it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simultaneously with the instruction fee. If she had exercised her discretion judiciously she would have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awarded an instruction fee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million but not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13 million. On that figure the correct amount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VAT should have been 1 920 009 only. The total fees would have amounted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 million. 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prayed that the total award be reduced to that figure. He also prayed for costs because counsel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 brought about this situation by claiming excessive fees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25 million.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reply and legal arguments to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conferencing notes,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Shonubi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disagreed with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>. On the first ground, counsel pointed out that the taxing officer was alive to her task. She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exercised her discretion judiciously, which enabled her to reach the correct figure. She could not be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faulted on her awards because she based them on circumstances or factors of this case which included the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matter, the nature, importance and others. Further, advocates have to be well motivated to attract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young people into the </w:t>
      </w:r>
      <w:r>
        <w:rPr>
          <w:rFonts w:ascii="Times New Roman" w:hAnsi="Times New Roman" w:cs="Times New Roman"/>
          <w:color w:val="000000"/>
        </w:rPr>
        <w:lastRenderedPageBreak/>
        <w:t xml:space="preserve">profession. In any case counsel argued that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estopped to pursue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claim for his client in this case, because he had already settled it.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issue of payment of VAT, counsel replied that the law governing payment of VAT has been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settled.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Shonubi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produced a certificate of registration under the VAT Law. He was entitled to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it. However he conceded that the assistant registrar should have also reduced the VAT together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instruction fee. He, hence, agreed to recalculation of the accurate VAT given the taxed off sums.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Apart from that concession, counsel asked this Court to dismiss the rest of the claim. The applicant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condemned in costs because the inaccuracy in VAT was so minor that it could have been very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easily rectified under the slip rule.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heard the submissions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>; I also perused the conferencing notes and legal arguments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both counsel for the parties and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them carefully. The principles of law governing taxation are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well settled and have been reiterated in a number of authorities including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Chandran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Kengrow</w:t>
      </w:r>
      <w:proofErr w:type="spellEnd"/>
      <w:r w:rsidR="00C829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Industries Limited </w:t>
      </w:r>
      <w:r>
        <w:rPr>
          <w:rFonts w:ascii="Times New Roman" w:hAnsi="Times New Roman" w:cs="Times New Roman"/>
          <w:color w:val="000000"/>
        </w:rPr>
        <w:t xml:space="preserve">[2002] LLR 306 (SCU); </w:t>
      </w:r>
      <w:r>
        <w:rPr>
          <w:rFonts w:ascii="Times New Roman" w:hAnsi="Times New Roman" w:cs="Times New Roman"/>
          <w:i/>
          <w:iCs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Habre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International</w:t>
      </w:r>
      <w:r w:rsidR="00C829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[1999] LLR 73 (SCU); </w:t>
      </w:r>
      <w:r>
        <w:rPr>
          <w:rFonts w:ascii="Times New Roman" w:hAnsi="Times New Roman" w:cs="Times New Roman"/>
          <w:i/>
          <w:iCs/>
          <w:color w:val="000000"/>
        </w:rPr>
        <w:t xml:space="preserve">Bank of Uganda v Banco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Espanol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[1999] LLR 74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(SCU); </w:t>
      </w:r>
      <w:r>
        <w:rPr>
          <w:rFonts w:ascii="Times New Roman" w:hAnsi="Times New Roman" w:cs="Times New Roman"/>
          <w:i/>
          <w:iCs/>
          <w:color w:val="000000"/>
        </w:rPr>
        <w:t xml:space="preserve">Attorney General v Uganda Blanket </w:t>
      </w:r>
      <w:r>
        <w:rPr>
          <w:rFonts w:ascii="Times New Roman" w:hAnsi="Times New Roman" w:cs="Times New Roman"/>
          <w:color w:val="000000"/>
        </w:rPr>
        <w:t xml:space="preserve">civil appeal [1993] LLR 59 (SCU) and </w:t>
      </w:r>
      <w:r>
        <w:rPr>
          <w:rFonts w:ascii="Times New Roman" w:hAnsi="Times New Roman" w:cs="Times New Roman"/>
          <w:i/>
          <w:iCs/>
          <w:color w:val="000000"/>
        </w:rPr>
        <w:t>General Parts</w:t>
      </w:r>
      <w:r w:rsidR="00C829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(Uganda) Limited v Non Performing Assets Trust </w:t>
      </w:r>
      <w:r>
        <w:rPr>
          <w:rFonts w:ascii="Times New Roman" w:hAnsi="Times New Roman" w:cs="Times New Roman"/>
          <w:color w:val="000000"/>
        </w:rPr>
        <w:t>civil appeal [2000] LLR 1 (SCU).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generally conceded that there is no mathematical formula for calculating awards in taxation but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are accepted principles as reiterated by the Supreme Court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CC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Chandran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relied on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>. The court noted that: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correct approach to be adopted by the taxing officer would be the exercise of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intricable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balancing act</w:t>
      </w:r>
      <w:r w:rsidR="00C829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whereby the taxing officer has to mentally weigh the diverse general principles applicable, which are</w:t>
      </w:r>
      <w:r w:rsidR="00C829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sometimes against one another, in order to arrive at the reasonable fees. Thus while the taxing officer has to</w:t>
      </w:r>
      <w:r w:rsidR="00C829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keep in mind that the successful party has to be reimbursed expenses reasonably incurred due to litigation and</w:t>
      </w:r>
      <w:r w:rsidR="00C829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advocate’s remuneration should be at such level as to attract recruits into the profession he or she has to</w:t>
      </w:r>
      <w:r w:rsidR="00C829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balance that with his/her duty to the public not to allow costs to be so hiked that the courts would remain only</w:t>
      </w:r>
      <w:r w:rsidR="00C829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accessible to the wealthy.”</w:t>
      </w:r>
      <w:r w:rsidR="00C829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taxing officer has also to observe consistency and must take into account inflation. It is important to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note that he or she has a discretion which the courts trust he or she would exercise judiciously. The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aforesaid notwithstanding courts are reluctant to interfere with awards of taxation or costs. In the case of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Pramchand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v Quarry Services </w:t>
      </w:r>
      <w:r>
        <w:rPr>
          <w:rFonts w:ascii="Times New Roman" w:hAnsi="Times New Roman" w:cs="Times New Roman"/>
          <w:color w:val="000000"/>
        </w:rPr>
        <w:t>[1972] EA 162 the Court of Appeal pointed out that the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would interfere with the award only if it was so high or low as to cause injustice to the parties. The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must be unreasonable and excessive to justify interference.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Applying the aforesaid principles to this reference, the taxing officer clearly, was alive to the correct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approach and she generally adopted it. I agree she addressed her mind to the general benchmarks. She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gave reasons for the awards she allowed. She agreed with counsel for the respondent, that the appeal was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difficult. It involved important and complicated issues which required research and a lot of industry. It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important points of law which had not been settled in this jurisdiction. They included insurance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interest, judicial notice in respect of insecurity in foreign jurisdiction and Aviation Law.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answer to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complaint to the effect that the alleged research was not reproduced the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taxing officer had the following to say: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“So I hasten to find that there was reasonable research irrespective of whether the lead judgment specifically</w:t>
      </w:r>
      <w:r w:rsidR="00C829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reproduced it. Brevity of the judgment does not mean that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Justices did not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scrutinise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="00C829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presented research.”</w:t>
      </w:r>
      <w:r w:rsidR="00C829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Clearly the taxing officer knew what she was talking about. She generally based her award on reasonable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considerations. However, on the first ground I am unhappy about the question of the instruction fee. I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accept the submission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13 million based on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75 million (being value of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subject matter is rather high), in my estimation that award amounts to about 18-20%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75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million. I have already conceded there is no laid down mathematical formula on which to base the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calculation but I am of the view that I would prefer 10% of the value of the subject matter.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Further, as already pointed out consistency is another desirable practice. In the case of </w:t>
      </w:r>
      <w:r>
        <w:rPr>
          <w:rFonts w:ascii="Times New Roman" w:hAnsi="Times New Roman" w:cs="Times New Roman"/>
          <w:i/>
          <w:iCs/>
          <w:color w:val="000000"/>
        </w:rPr>
        <w:t>Bank of</w:t>
      </w:r>
      <w:r w:rsidR="00C829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Uganda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Trespert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>civil appeal number 3 of 1997 the value of the subject matter was US Dollars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5 533 550,80. The instruction fee was allowed at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360 million which was only about 8%–9% of the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value of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the subject matter.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Sieteo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Noble Builders </w:t>
      </w:r>
      <w:r>
        <w:rPr>
          <w:rFonts w:ascii="Times New Roman" w:hAnsi="Times New Roman" w:cs="Times New Roman"/>
          <w:color w:val="000000"/>
        </w:rPr>
        <w:t>Supreme Court civil appeal number 31 of 1993 the value of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subject </w:t>
      </w:r>
      <w:proofErr w:type="spellStart"/>
      <w:r>
        <w:rPr>
          <w:rFonts w:ascii="Times New Roman" w:hAnsi="Times New Roman" w:cs="Times New Roman"/>
          <w:color w:val="000000"/>
        </w:rPr>
        <w:t>mater</w:t>
      </w:r>
      <w:proofErr w:type="spellEnd"/>
      <w:r>
        <w:rPr>
          <w:rFonts w:ascii="Times New Roman" w:hAnsi="Times New Roman" w:cs="Times New Roman"/>
          <w:color w:val="000000"/>
        </w:rPr>
        <w:t xml:space="preserve"> was US Dollars 2</w:t>
      </w:r>
      <w:proofErr w:type="gramStart"/>
      <w:r>
        <w:rPr>
          <w:rFonts w:ascii="Times New Roman" w:hAnsi="Times New Roman" w:cs="Times New Roman"/>
          <w:color w:val="000000"/>
        </w:rPr>
        <w:t>,9</w:t>
      </w:r>
      <w:proofErr w:type="gramEnd"/>
      <w:r>
        <w:rPr>
          <w:rFonts w:ascii="Times New Roman" w:hAnsi="Times New Roman" w:cs="Times New Roman"/>
          <w:color w:val="000000"/>
        </w:rPr>
        <w:t xml:space="preserve"> million. The instruction fee was allowed at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330 068 500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about 10% of USD 2</w:t>
      </w:r>
      <w:proofErr w:type="gramStart"/>
      <w:r>
        <w:rPr>
          <w:rFonts w:ascii="Times New Roman" w:hAnsi="Times New Roman" w:cs="Times New Roman"/>
          <w:color w:val="000000"/>
        </w:rPr>
        <w:t>,9</w:t>
      </w:r>
      <w:proofErr w:type="gramEnd"/>
      <w:r>
        <w:rPr>
          <w:rFonts w:ascii="Times New Roman" w:hAnsi="Times New Roman" w:cs="Times New Roman"/>
          <w:color w:val="000000"/>
        </w:rPr>
        <w:t xml:space="preserve"> million. Similarly in the instant case I would prefer to reduce the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18-20% to 10%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75 million with VAT at 17% of that figure which would amount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1 275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000 and total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7 500 000 + 1 275 000 =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8 775 000. Considering all the circumstances of this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case, mentioned above, </w:t>
      </w:r>
      <w:r>
        <w:rPr>
          <w:rFonts w:ascii="Times New Roman" w:hAnsi="Times New Roman" w:cs="Times New Roman"/>
          <w:color w:val="000000"/>
        </w:rPr>
        <w:lastRenderedPageBreak/>
        <w:t>especially the value of the subject matter and all the hard work put in by counsel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respondent, I consider the said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7 500 000 appropriate award as instruction fee.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VAT counsel for the respondent conceded that it was calculated on a wrong figure. 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apparently had no objection to correcting it. In reply to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as to whether the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respondent was entitled to VAT, he answered in the affirmative. He however, asked for costs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inaccuracy in the calculation of VAT was minor and did not necessitate a reference but a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correction under the slip rule. I appreciate the concession made by counsel for the respondent but as the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has succeeded on both grounds, the applicant would be entitled to costs of this application.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result this reference is allowed to the extent that the instruction fee is reduced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7 500</w:t>
      </w:r>
      <w:r w:rsidR="00C829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000 (seven million five hundred thousand shillings only) and VAT also reduced to 17%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</w:t>
      </w:r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500–00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1 275 000 amounting to a total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8 775 000.</w:t>
      </w:r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is further ordered to pay costs of this application.</w:t>
      </w:r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Byamugisha</w:t>
      </w:r>
      <w:proofErr w:type="spellEnd"/>
    </w:p>
    <w:p w:rsidR="008F6BC6" w:rsidRDefault="008F6BC6" w:rsidP="008F6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AB7022" w:rsidRDefault="008F6BC6" w:rsidP="008F6BC6"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Shonubi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C6"/>
    <w:rsid w:val="008F6BC6"/>
    <w:rsid w:val="00AB7022"/>
    <w:rsid w:val="00C8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5EF26-CEAF-4F3F-9136-B85E962E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2018-07-05T06:56:00Z</dcterms:created>
  <dcterms:modified xsi:type="dcterms:W3CDTF">2018-07-13T16:34:00Z</dcterms:modified>
</cp:coreProperties>
</file>