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National Social Security Fund Board of Trustee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Kerio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Farms Limited and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others</w:t>
      </w:r>
      <w:proofErr w:type="gramEnd"/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November 2005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162/05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Discovery – Delivery of interrogatories – Applicable principles.</w:t>
      </w:r>
    </w:p>
    <w:p w:rsidR="00293469" w:rsidRDefault="00FC5646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C5646" w:rsidRDefault="00293469" w:rsidP="00FC56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Ochieng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is an application pursuant to the provisions of Order X, rules 1, 2, 7 and 20 of the Civil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Rules. Primarily, the applicants are seeking leave to deliver interrogatories to the plaintiff.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 are the first and second defendants, and they ask that the plaintiff’s Managing Trustee,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Naftali </w:t>
      </w:r>
      <w:proofErr w:type="spellStart"/>
      <w:r>
        <w:rPr>
          <w:rFonts w:ascii="Times New Roman" w:hAnsi="Times New Roman" w:cs="Times New Roman"/>
          <w:color w:val="000000"/>
        </w:rPr>
        <w:t>Mogere</w:t>
      </w:r>
      <w:proofErr w:type="spellEnd"/>
      <w:r>
        <w:rPr>
          <w:rFonts w:ascii="Times New Roman" w:hAnsi="Times New Roman" w:cs="Times New Roman"/>
          <w:color w:val="000000"/>
        </w:rPr>
        <w:t>, be required to answer the interrogatories within 10 days of service, failing which the suit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struck out.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contended that the interrogatories were necessary for the fair disposal of the suit, as they will help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determine the real questions in controversy. As far as the applicants were concerned the interrogatories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just and equitable, and would also help to save on both time and costs.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interrogatories raise a total of fourteen questions, all of which are addressed to the plaintiff. They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 as follows:</w:t>
      </w:r>
      <w:r w:rsidR="00FC5646">
        <w:rPr>
          <w:rFonts w:ascii="Times New Roman" w:hAnsi="Times New Roman" w:cs="Times New Roman"/>
          <w:color w:val="000000"/>
        </w:rPr>
        <w:t xml:space="preserve"> </w:t>
      </w:r>
    </w:p>
    <w:p w:rsidR="00293469" w:rsidRDefault="00293469" w:rsidP="00FC56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executed the alleged Sale Agreement dated 5 December 1995 on behalf of both the plaintiff and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defendant?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Who witnessed the said Sale Agreement on behalf of the parties?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Who attested the said Sale Agreement on behalf of the parties?</w:t>
      </w:r>
    </w:p>
    <w:p w:rsidR="00293469" w:rsidRPr="00FC5646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(4) What were the salient and/or principal terms and conditions of the said Sale Agreement? </w:t>
      </w:r>
      <w:proofErr w:type="spellStart"/>
      <w:r w:rsidR="00FC56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V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iz</w:t>
      </w:r>
      <w:proofErr w:type="spellEnd"/>
      <w:r w:rsidR="00FC564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completion period, consideration, vacant possession etc.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(5) Who were the lawyers of the plaintiff in the said sale transaction?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(6) When was the material consideration paid to the first defendant? How was it paid? When was it paid?</w:t>
      </w:r>
    </w:p>
    <w:p w:rsidR="00293469" w:rsidRDefault="00FC5646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93469">
        <w:rPr>
          <w:rFonts w:ascii="Times New Roman" w:hAnsi="Times New Roman" w:cs="Times New Roman"/>
          <w:color w:val="000000"/>
          <w:sz w:val="20"/>
          <w:szCs w:val="20"/>
        </w:rPr>
        <w:t xml:space="preserve">(7) When did the plaintiff receive the Title Deeds of the material properties? </w:t>
      </w:r>
      <w:proofErr w:type="spellStart"/>
      <w:proofErr w:type="gramStart"/>
      <w:r w:rsidR="00293469">
        <w:rPr>
          <w:rFonts w:ascii="Times New Roman" w:hAnsi="Times New Roman" w:cs="Times New Roman"/>
          <w:i/>
          <w:iCs/>
          <w:color w:val="000000"/>
          <w:sz w:val="20"/>
          <w:szCs w:val="20"/>
        </w:rPr>
        <w:t>viz</w:t>
      </w:r>
      <w:proofErr w:type="spellEnd"/>
      <w:proofErr w:type="gramEnd"/>
      <w:r w:rsidR="0029346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293469">
        <w:rPr>
          <w:rFonts w:ascii="Times New Roman" w:hAnsi="Times New Roman" w:cs="Times New Roman"/>
          <w:color w:val="000000"/>
          <w:sz w:val="20"/>
          <w:szCs w:val="20"/>
        </w:rPr>
        <w:t>LR numbers 20840 and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20841.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(8) When did the plaintiff know that the second defendant was a Director and/or shareholder of the first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defendant? How did it know?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(9) When did the plaintiff know that the second defendant was the alter ego of the first defendant?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(10) How was the second defendant a “Powerful individual(s) in the then country’s (Kenya) corridor of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power? Where is the proof of the existence of such power?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(11) How did the plaintiff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second defendant had “. 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.unbridled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capacity to influence matters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a Government parastatal such as the plaintiff? Where is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basis.</w:t>
      </w:r>
      <w:proofErr w:type="gramEnd"/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(12) How did the first and second defendants, together with the third and fourth defendants 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connive</w:t>
      </w:r>
      <w:r>
        <w:rPr>
          <w:rFonts w:ascii="Times New Roman" w:hAnsi="Times New Roman" w:cs="Times New Roman"/>
          <w:color w:val="000000"/>
          <w:sz w:val="20"/>
          <w:szCs w:val="20"/>
        </w:rPr>
        <w:t>” to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perpetuate the “grand fraud” against the plaintiff?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(13) How did the first and second defendants unjustly enrich themselves out of the plaintiff?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(14) How did the second defendant influence the plaintiff to enter into the alleged transactions with the first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defendant?”</w:t>
      </w:r>
    </w:p>
    <w:p w:rsidR="00293469" w:rsidRDefault="00293469" w:rsidP="00FC56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canvassing the application,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Catherine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Mungai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for applicants pointed out that in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and second defendants’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they specifically denied the existence of any undue influence,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allegedly being exerted by them on the plaintiff. Indeed the two defendants expressly pleaded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plaintiff was, at all material times, represented by advocates. In the circumstances, the applicants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 that if the plaintiff was compelled to respond to the interrogatories it would save the court’s time.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plaintiff contends that the issues raised in the interrogatories numbered 1–5 were well within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knowledge of the applicants, and that therefore, they were unnecessary. Furthermore, the plaintiff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feels that once Discovery of documents is carried out and documents exchanged, the said interrogatories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have been answered. So also the interrogatories numbered six and seven.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as Discovery is mandatory, the plaintiff feels that there is no need to answer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interrogatories.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virtue of the provisions of Order X, rule </w:t>
      </w:r>
      <w:proofErr w:type="gramStart"/>
      <w:r>
        <w:rPr>
          <w:rFonts w:ascii="Times New Roman" w:hAnsi="Times New Roman" w:cs="Times New Roman"/>
          <w:color w:val="000000"/>
        </w:rPr>
        <w:t>11A(</w:t>
      </w:r>
      <w:proofErr w:type="gramEnd"/>
      <w:r>
        <w:rPr>
          <w:rFonts w:ascii="Times New Roman" w:hAnsi="Times New Roman" w:cs="Times New Roman"/>
          <w:color w:val="000000"/>
        </w:rPr>
        <w:t>1), within one month after the pleadings are closed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suit in the High Court, every </w:t>
      </w:r>
      <w:r>
        <w:rPr>
          <w:rFonts w:ascii="Times New Roman" w:hAnsi="Times New Roman" w:cs="Times New Roman"/>
          <w:color w:val="000000"/>
        </w:rPr>
        <w:lastRenderedPageBreak/>
        <w:t>party shall make discovery by filing and serving on the opposite party a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list of documents relating to any matter in question in the suit which are not or have been in his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or power.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case, the fifth and sixth defendants have not yet filed their respective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. Therefore,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pleadings in the suit have not yet closed, as envisaged by Order VI, rule 11 of the Civil Procedure Rules.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being the case, it would imply that until and unless the plaintiff unilaterally decided to make out its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List of Documents, and to serve the same on the defendants, the applicants would be obliged to await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close of pleadings before they could expect to obtain the answers to the interrogatories, by perusing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copies of the documents which were produced during the process of discovery. But, I do not think that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should be obliged to await the close of pleadings. They wish to get on with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preparations of their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Meanwhile, as regards the interrogatories numbered 8 and 9, the plaintiff avers that the same were a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negation of the applicants’ case. The plaintiff points out that in paragraph 4 of the second defendant’s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said defendant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denies having been a director or shareholder of the first defendant. In the circumstances, the plaintiff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holds the view that it was not proper for the applicants to ask the question as to when the plaintiff knew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a director of the first defendant.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a first glance, the questions numbered 8 and 9 would appear to contradict the averments in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 defendant’s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However, upon further reflection, it becomes clear that if the answer to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questions confirmed the averments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that line of questioning will have been effectively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determined. In other words, the court would have had the opportunity to know, at an early stage, whether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not the second defendant was a Director or shareholder of the first defendant; and also if the said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was the alter ego of the first defendant. In effect, the answers to interrogatories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numbered 8 and 9 would assist in saving both time and costs.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regards the interrogatories numbered ten, eleven and twelve, they all ask the questions, </w:t>
      </w:r>
      <w:proofErr w:type="gramStart"/>
      <w:r>
        <w:rPr>
          <w:rFonts w:ascii="Times New Roman" w:hAnsi="Times New Roman" w:cs="Times New Roman"/>
          <w:color w:val="000000"/>
        </w:rPr>
        <w:t>How</w:t>
      </w:r>
      <w:proofErr w:type="gramEnd"/>
      <w:r>
        <w:rPr>
          <w:rFonts w:ascii="Times New Roman" w:hAnsi="Times New Roman" w:cs="Times New Roman"/>
          <w:color w:val="000000"/>
        </w:rPr>
        <w:t>? They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the kind of questions which would be difficult to give a precise answer to. To my mind, the said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are best left to be tackled by way of cross-examination.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 believe that the interrogatory numbered thirteen could easily be answered in a specific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manner. I do not think that the question raises a pure legal issue. To say that one had unjustly enriched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himself implies that he obtained something for himself, without any </w:t>
      </w:r>
      <w:proofErr w:type="spellStart"/>
      <w:r>
        <w:rPr>
          <w:rFonts w:ascii="Times New Roman" w:hAnsi="Times New Roman" w:cs="Times New Roman"/>
          <w:color w:val="000000"/>
        </w:rPr>
        <w:t>colour</w:t>
      </w:r>
      <w:proofErr w:type="spellEnd"/>
      <w:r>
        <w:rPr>
          <w:rFonts w:ascii="Times New Roman" w:hAnsi="Times New Roman" w:cs="Times New Roman"/>
          <w:color w:val="000000"/>
        </w:rPr>
        <w:t xml:space="preserve"> of right to it, and to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detriment of the true owner thereof. I therefore believe that the person who asserts that another person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unjustly enriched himself should be able to pinpoint the exact thing(s) which the person took from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without any </w:t>
      </w:r>
      <w:proofErr w:type="spellStart"/>
      <w:r>
        <w:rPr>
          <w:rFonts w:ascii="Times New Roman" w:hAnsi="Times New Roman" w:cs="Times New Roman"/>
          <w:color w:val="000000"/>
        </w:rPr>
        <w:t>colour</w:t>
      </w:r>
      <w:proofErr w:type="spellEnd"/>
      <w:r>
        <w:rPr>
          <w:rFonts w:ascii="Times New Roman" w:hAnsi="Times New Roman" w:cs="Times New Roman"/>
          <w:color w:val="000000"/>
        </w:rPr>
        <w:t xml:space="preserve"> of right.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Omar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Gordhanbhai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[1974] EA 518, Harris J quoted with approval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passage from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Halisbury’s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Laws of England </w:t>
      </w:r>
      <w:r>
        <w:rPr>
          <w:rFonts w:ascii="Times New Roman" w:hAnsi="Times New Roman" w:cs="Times New Roman"/>
          <w:color w:val="000000"/>
        </w:rPr>
        <w:t>Volume 12 (3ed) at 64: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party interrogating may put questions for the purposes of extracting from his opponent information as to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facts material to the questions between them which he has to prove on any issue raised, between them, or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purposes of securing admissions as to those facts in order that expense and delay may be saved, or to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find out whether particular statements of fact contained in the pleadings of the party interrogating as to which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onus of proof is upon him are true or untrue, or to ascertain what case he has to meet or what really is in issue,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as to prevent his being taken by surprise at the trial, or to destroy his opponent’s case, or to support his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own case.”</w:t>
      </w:r>
      <w:r w:rsidR="00FC56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I am satisfied that most of the interrogatories are intended to extract from the plaintiff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as to the facts which are material between the applicants and the plaintiff. By asking when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became aware that the applicants were directors or shareholders of the first defendant,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 are seeking to secure admissions to their averments in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so as to save on expense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delay.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contrast to those interrogatories, I consider those numbered 10, 11 and 12 to be far removed from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real issues between the parties. For instance, whether or not the second defendant was a powerful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 in Kenya; and whether or not he had unbridled capacity to influence parastatals, that could not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itself determine his liability to the plaintiff. The fact that one may have power or authority to cause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things to occur would not necessarily imply that they had used such authority or power.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Secondly, as I have already said hereinbefore, it would be very difficult to expect the plaintiff to give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precise answer to the question as to how the applicants connived to perpetuate the grand fraud against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plaintiff. For those reasons, I hold that the interrogatories numbered ten, eleven and twelve should not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delivered to the plaintiff.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other interrogatories will now be delivered to the plaintiff within the next seven days. And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is directed to answer the same within fifteen (15) days of delivery. The answers shall be in the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of an affidavit sworn by the plaintiff’s Managing Trustee which should be filed in court, and served</w:t>
      </w:r>
      <w:r w:rsidR="00FC564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applicants within fifteen days from the date when the interrogatories are delivered to the plaintiff.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costs of the application dated 31 May 2005 are awarded to the first and second defendants.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Catherine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Mungai</w:t>
      </w:r>
      <w:proofErr w:type="spellEnd"/>
    </w:p>
    <w:p w:rsidR="00293469" w:rsidRDefault="00293469" w:rsidP="0029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293469" w:rsidP="00293469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69"/>
    <w:rsid w:val="00293469"/>
    <w:rsid w:val="00AB7022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5558C-CDBA-4068-A8C3-1B47D69F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2018-07-05T06:57:00Z</dcterms:created>
  <dcterms:modified xsi:type="dcterms:W3CDTF">2018-07-13T16:36:00Z</dcterms:modified>
</cp:coreProperties>
</file>