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Ngare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Attorney-General and another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5 July 2004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173/03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Ang’awa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Lenaola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Emukule</w:t>
      </w:r>
      <w:proofErr w:type="spellEnd"/>
      <w:r>
        <w:rPr>
          <w:rFonts w:ascii="Times New Roman" w:hAnsi="Times New Roman" w:cs="Times New Roman"/>
          <w:color w:val="000000"/>
        </w:rPr>
        <w:t xml:space="preserve"> AJJ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</w:rPr>
        <w:t>Monari</w:t>
      </w:r>
      <w:proofErr w:type="spellEnd"/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 of law – Procedure – Fundamental rights and freedoms – Reference to High Court –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Applicant not following procedure under the rules – Whether applicant must first make application to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subordinate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court – Whether section 84(1) to be read subject to section 84(b) of the Constitution –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rules prescribing procedure for Constitutional references unconstitutional – Whether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preliminary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objection may be raised in a constitutional reference – Sections 84(1) and (6) Constitution of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Kenya.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060C16" w:rsidRDefault="00002868" w:rsidP="00060C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filed a constitutional matter as a direct reference, under sections 65, 77(1), 77(2) and 84(1)</w:t>
      </w:r>
      <w:r w:rsidR="00060C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constitution of Kenya. The applicant was challenging the constitutionality of the Anti-Corruption</w:t>
      </w:r>
      <w:r w:rsidR="00060C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to which he had been charged with a number of offences under the Prevention of Corruption Act</w:t>
      </w:r>
      <w:r w:rsidR="00060C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(Chapter 65) Laws of Kenya.</w:t>
      </w:r>
      <w:r w:rsidR="00060C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DPP contended that the application was bad in law as it did not comply with the procedure set out</w:t>
      </w:r>
      <w:r w:rsidR="00060C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the rules made under section 84(6) of the Constitution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the Constitution of Kenya, Protection of</w:t>
      </w:r>
      <w:r w:rsidR="00060C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Fundamental Rights and Freedoms of the Individual Practice and Procedure Rules of 2001, Legal Notice</w:t>
      </w:r>
      <w:r w:rsidR="00060C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133 of 2001. He averred that the application being in the manner of a constitutional reference</w:t>
      </w:r>
      <w:r w:rsidR="00060C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made directly to the High Court without regard to the procedure set out by the rules made pursuant</w:t>
      </w:r>
      <w:r w:rsidR="00060C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section 84(6) as read with section 84(1) of the constitution. The applicant had not first applied to the</w:t>
      </w:r>
      <w:r w:rsidR="00060C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subordinate court where his trial was being heard before making the reference to the High Court.</w:t>
      </w:r>
      <w:r w:rsidR="00060C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countered the preliminary objection on four grounds; that in interpreting constitutional</w:t>
      </w:r>
      <w:r w:rsidR="00060C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matters, courts should do so liberally and give it the widest possible interpretation, more so in questions</w:t>
      </w:r>
      <w:r w:rsidR="00060C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regarding fundamental rights; that section 84(1) and (3) of the constitution confers on an applicant</w:t>
      </w:r>
      <w:r w:rsidR="00060C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unlimited right of access to the constitutional Court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viz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Court; that the rules made under Legal</w:t>
      </w:r>
      <w:r w:rsidR="00060C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 number 133 of 2001 were unconstitutional to the extent that they attempt to derogate from the</w:t>
      </w:r>
      <w:r w:rsidR="00060C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applicant’s right of access to the High Court; and that the nature of the matter before the Court was such</w:t>
      </w:r>
      <w:r w:rsidR="00060C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it could not be determined by a preliminary objection and the applicant ought to be allowed to</w:t>
      </w:r>
      <w:r w:rsidR="00060C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canvass his application fully and that it be determined on its merit.</w:t>
      </w:r>
      <w:r w:rsidR="00060C16">
        <w:rPr>
          <w:rFonts w:ascii="Times New Roman" w:hAnsi="Times New Roman" w:cs="Times New Roman"/>
          <w:color w:val="000000"/>
        </w:rPr>
        <w:t xml:space="preserve"> </w:t>
      </w:r>
    </w:p>
    <w:p w:rsidR="00060C16" w:rsidRDefault="00060C16" w:rsidP="00060C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02868" w:rsidRDefault="00002868" w:rsidP="00060C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Matters of fundamental rights and alleged violations of those rights were serious issues and the</w:t>
      </w:r>
      <w:r w:rsidR="00060C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relating to fundamental rights were meant to assure the citizens to come before the High Court</w:t>
      </w:r>
      <w:r w:rsidR="00060C16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unhesitantly</w:t>
      </w:r>
      <w:proofErr w:type="spellEnd"/>
      <w:r>
        <w:rPr>
          <w:rFonts w:ascii="Times New Roman" w:hAnsi="Times New Roman" w:cs="Times New Roman"/>
          <w:color w:val="000000"/>
        </w:rPr>
        <w:t xml:space="preserve"> and without any constraint. </w:t>
      </w:r>
      <w:r>
        <w:rPr>
          <w:rFonts w:ascii="Times New Roman" w:hAnsi="Times New Roman" w:cs="Times New Roman"/>
          <w:i/>
          <w:iCs/>
          <w:color w:val="000000"/>
        </w:rPr>
        <w:t xml:space="preserve">Kuria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</w:rPr>
        <w:t>wa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Gathoni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Attorney-General </w:t>
      </w:r>
      <w:r>
        <w:rPr>
          <w:rFonts w:ascii="Times New Roman" w:hAnsi="Times New Roman" w:cs="Times New Roman"/>
          <w:color w:val="000000"/>
        </w:rPr>
        <w:t>High Court</w:t>
      </w:r>
      <w:r w:rsidR="00060C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miscellaneous application number 1384 of 2001.</w:t>
      </w:r>
      <w:r w:rsidR="00060C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aggrieved party had access to the High Court under section 84(1) of the Constitution but subject to</w:t>
      </w:r>
      <w:r w:rsidR="00060C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procedures under section 84(6) of the Constitution.</w:t>
      </w:r>
      <w:r w:rsidR="00060C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rules made under section 84(6) of the constitution </w:t>
      </w:r>
      <w:r>
        <w:rPr>
          <w:rFonts w:ascii="Times New Roman" w:hAnsi="Times New Roman" w:cs="Times New Roman"/>
          <w:i/>
          <w:iCs/>
          <w:color w:val="000000"/>
        </w:rPr>
        <w:t xml:space="preserve">vide </w:t>
      </w:r>
      <w:r>
        <w:rPr>
          <w:rFonts w:ascii="Times New Roman" w:hAnsi="Times New Roman" w:cs="Times New Roman"/>
          <w:color w:val="000000"/>
        </w:rPr>
        <w:t>Legal Notice number 133 of 2001 were</w:t>
      </w:r>
      <w:r w:rsidR="00060C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inconsistent with the constitution as neither the purpose nor the object of the rules had been shown to</w:t>
      </w:r>
      <w:r w:rsidR="00060C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invalid.</w:t>
      </w:r>
      <w:r w:rsidR="00060C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struck out.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ruling: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Chizondo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Republic </w:t>
      </w:r>
      <w:r>
        <w:rPr>
          <w:rFonts w:ascii="Times New Roman" w:hAnsi="Times New Roman" w:cs="Times New Roman"/>
          <w:color w:val="000000"/>
        </w:rPr>
        <w:t xml:space="preserve">[1998] LLR 5308 (HCK)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Githunguri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[1986] KLR 1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Karani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Chairman (KANU) and others </w:t>
      </w:r>
      <w:r>
        <w:rPr>
          <w:rFonts w:ascii="Times New Roman" w:hAnsi="Times New Roman" w:cs="Times New Roman"/>
          <w:color w:val="000000"/>
        </w:rPr>
        <w:t xml:space="preserve">High Court miscellaneous civil case number 238 of 2002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Kipruto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arap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Chelashaw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High Court miscellaneous criminal application number 693 of 2003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Kuria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</w:rPr>
        <w:t>wa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Gathoni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Attorney-General </w:t>
      </w:r>
      <w:r>
        <w:rPr>
          <w:rFonts w:ascii="Times New Roman" w:hAnsi="Times New Roman" w:cs="Times New Roman"/>
          <w:color w:val="000000"/>
        </w:rPr>
        <w:t>High Court miscellaneous application number 1384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2001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Mukisa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Biscuit Manufacturing Co Ltd v West End Distributors Ltd </w:t>
      </w:r>
      <w:r>
        <w:rPr>
          <w:rFonts w:ascii="Times New Roman" w:hAnsi="Times New Roman" w:cs="Times New Roman"/>
          <w:color w:val="000000"/>
        </w:rPr>
        <w:t>[1969] EA 696 –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Ngui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[1985] KLR 268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Niazsons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(K) Ltd v China Road and Bridge Corporation </w:t>
      </w:r>
      <w:r>
        <w:rPr>
          <w:rFonts w:ascii="Times New Roman" w:hAnsi="Times New Roman" w:cs="Times New Roman"/>
          <w:color w:val="000000"/>
        </w:rPr>
        <w:t>[2001] 2 EA 502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Njeru v Republic </w:t>
      </w:r>
      <w:r>
        <w:rPr>
          <w:rFonts w:ascii="Times New Roman" w:hAnsi="Times New Roman" w:cs="Times New Roman"/>
          <w:color w:val="000000"/>
        </w:rPr>
        <w:t xml:space="preserve">[1979] KLR 154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Njogu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[2000] LLR 2275 (HCK)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Njoya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Attorney-General and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others</w:t>
      </w:r>
      <w:r>
        <w:rPr>
          <w:rFonts w:ascii="Times New Roman" w:hAnsi="Times New Roman" w:cs="Times New Roman"/>
          <w:color w:val="000000"/>
        </w:rPr>
        <w:t>[</w:t>
      </w:r>
      <w:proofErr w:type="gramEnd"/>
      <w:r>
        <w:rPr>
          <w:rFonts w:ascii="Times New Roman" w:hAnsi="Times New Roman" w:cs="Times New Roman"/>
          <w:color w:val="000000"/>
        </w:rPr>
        <w:t>2004] 1 EA 194 (HCK)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Nyangau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Nyakwana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[1986] KLR 712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Okunda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Republic </w:t>
      </w:r>
      <w:r>
        <w:rPr>
          <w:rFonts w:ascii="Times New Roman" w:hAnsi="Times New Roman" w:cs="Times New Roman"/>
          <w:color w:val="000000"/>
        </w:rPr>
        <w:t xml:space="preserve">[1970] EA 45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Pattni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– 1998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</w:rPr>
        <w:t xml:space="preserve">Republic v EL Mann </w:t>
      </w:r>
      <w:r>
        <w:rPr>
          <w:rFonts w:ascii="Times New Roman" w:hAnsi="Times New Roman" w:cs="Times New Roman"/>
          <w:color w:val="000000"/>
        </w:rPr>
        <w:t xml:space="preserve">[1969] EA 357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Riungu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High Court criminal application number 472 of 1996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Speaker of the National Assembly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Karume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[1992] LLR 3070 (CAK)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Ssemogerere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Attorney-General </w:t>
      </w:r>
      <w:r>
        <w:rPr>
          <w:rFonts w:ascii="Times New Roman" w:hAnsi="Times New Roman" w:cs="Times New Roman"/>
          <w:color w:val="000000"/>
        </w:rPr>
        <w:t xml:space="preserve">(3) [2004] 2 EA 276 (SAF)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Wasike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Swala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[1985] KLR 425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Canada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Queen v Big M-Drug Mart Ltd </w:t>
      </w:r>
      <w:r>
        <w:rPr>
          <w:rFonts w:ascii="Times New Roman" w:hAnsi="Times New Roman" w:cs="Times New Roman"/>
          <w:color w:val="000000"/>
        </w:rPr>
        <w:t xml:space="preserve">[1986] LRC 332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002868" w:rsidRDefault="00002868" w:rsidP="00002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21070D" w:rsidRDefault="00002868" w:rsidP="00002868">
      <w:proofErr w:type="spellStart"/>
      <w:r>
        <w:rPr>
          <w:rFonts w:ascii="Times New Roman" w:hAnsi="Times New Roman" w:cs="Times New Roman"/>
          <w:i/>
          <w:iCs/>
          <w:color w:val="000000"/>
        </w:rPr>
        <w:t>Juando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68"/>
    <w:rsid w:val="00002868"/>
    <w:rsid w:val="00060C16"/>
    <w:rsid w:val="0021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57940-0F59-44FA-BE49-94D87140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2018-07-04T12:48:00Z</dcterms:created>
  <dcterms:modified xsi:type="dcterms:W3CDTF">2018-07-13T16:46:00Z</dcterms:modified>
</cp:coreProperties>
</file>