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 and another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5 July 2004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173/03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Monari</w:t>
      </w:r>
      <w:proofErr w:type="spellEnd"/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of law – Procedure – Fundamental rights and freedoms – Reference to High Court –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Applicant not following procedure under the rules – Whether applicant must first make application to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subordinate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– Whether section 84(1) to be read subject to section 84(b) of the Constitution –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rules prescribing procedure for Constitutional references unconstitutional – Whether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preliminary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objection may be raised in a constitutional reference – Sections 84(1) and (6) Constitution of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Kenya.</w:t>
      </w:r>
    </w:p>
    <w:p w:rsidR="006843E9" w:rsidRDefault="00140B63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140B63" w:rsidRDefault="006843E9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ANG’AWA J, LENAOLA AND EMUKULE AJJ: </w:t>
      </w:r>
      <w:r>
        <w:rPr>
          <w:rFonts w:ascii="Times New Roman" w:hAnsi="Times New Roman" w:cs="Times New Roman"/>
          <w:color w:val="000000"/>
        </w:rPr>
        <w:t xml:space="preserve">On 13 May 2002, Livingstone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Ngare</w:t>
      </w:r>
      <w:proofErr w:type="spellEnd"/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(hereinafter referred to as “the applicant”) filed the instant constitutional matter as a direct reference,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sections 65, 77(1), 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84(1) of the Constitution of Kenya. He also relied on the inherent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the High Court and all other enabling provisions of the law.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originating summons, the applicant is challenging the constitutionality of the anti-corruption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at which he had been charged with a number of offences under the Prevention of Corruption Act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65) Laws of Kenya.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matter was placed before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and parties appeared before him on 30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2003, 30 September 2003 and finally on 19 February 2004 when His Lordship constituted this three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bench to determine the matter in question.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The Objection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application came for hearing on 2 June 2004, the director of public prosecution (DPP),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Philip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a preliminary objection on points of law and procedure notice of which he had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given to the applicant on 28 March 2004. Counsel for the applicant,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time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 for the preliminary objection and his request was granted.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9 June 2004, the learned DPP commenced submissions on the preliminary objection with support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counsel for the Kenya Anti-Corruption Commission,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Evans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Monari</w:t>
      </w:r>
      <w:proofErr w:type="spellEnd"/>
      <w:r>
        <w:rPr>
          <w:rFonts w:ascii="Times New Roman" w:hAnsi="Times New Roman" w:cs="Times New Roman"/>
          <w:color w:val="000000"/>
        </w:rPr>
        <w:t>. The commission had by this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been enjoined in the proceedings as the second respondent.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for the preliminary objection were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That the application (by way of an originating summons) was bad in law as it did not comply with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set out by the rules made under section 84(6) of the constitution (the Constitution of Kenya,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Protection of Fundamental Rights and Freedoms of the Individual) Practice and Procedure Rules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2001, Legal Notice number 133/2001.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That the application is bad in law as it does not conform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provisions of the Civil Procedure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Act, and in particular Order XXXVI of the rules under the Civil Procedure Act.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the application is incompetent and bad in law as it offends the provisions of the Constitution since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the applicant prays for does not touch on the provisions of section 70-83 (inclusive) of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That the application is frivolous and an abuse of court process as it is only tailored to delay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in the lower court.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That the application is misconceived, bad in law and incompetent and should be struck out”.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Only grounds 1, 4, and 5 were argued and it was the submission of the DPP, that from the record of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Court, it was clear that the application before us being in the manner of a constitutional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was made directly to the High Court without regard to the procedure set out by the rules made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section 84(6) as read with section 84(1) of the Constitution. That being the case,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is invalid and should be dismissed.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84(1)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subsection (6) if a person alleges that any of the provisions of section 70 to 83 (inclusive) has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been, is being or is likely to be contravened in relation to him (or, in the case of a person who is detained, if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another person’s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alleges a contravention in relation to the detained person), then without prejudice to any other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with respect to the same matter which is lawfully available that person can/or that other person) may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 to the High Court for redress”.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(6)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Chief Justice may make rules with respect to practice and procedure of the High Court in relation to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and powers conferred on it by or under this section (including rules with respect to the time within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application may be brought and references shall be made to the High Court)”.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rules envisaged by subsection (6) were made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Legal Notice number 133 of 2001 by the Bernard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CJ (as he then was) and they are known as “The Constitution of Kenya, Protection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Freedom of the Individual Practice and Procedure Rules, 2001” (herein after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referred to as “the Rules”).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DPP submitted that whereas the application before court was brought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under section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84(1) aforesaid the application failed to take </w:t>
      </w:r>
      <w:proofErr w:type="spellStart"/>
      <w:r>
        <w:rPr>
          <w:rFonts w:ascii="Times New Roman" w:hAnsi="Times New Roman" w:cs="Times New Roman"/>
          <w:color w:val="000000"/>
        </w:rPr>
        <w:t>cognisance</w:t>
      </w:r>
      <w:proofErr w:type="spellEnd"/>
      <w:r>
        <w:rPr>
          <w:rFonts w:ascii="Times New Roman" w:hAnsi="Times New Roman" w:cs="Times New Roman"/>
          <w:color w:val="000000"/>
        </w:rPr>
        <w:t xml:space="preserve"> of rules 2, 3, and 4 of the rules.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2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an accused person in a criminal case or a party to a civil suit in a subordinate court alleges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contravention of his fundamental rights or freedoms under section 70 to 83 inclusive of the constitution in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relation to himself,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he shall apply informally to the presiding Magistrate during the pendency </w:t>
      </w:r>
      <w:r>
        <w:rPr>
          <w:rFonts w:ascii="Times New Roman" w:hAnsi="Times New Roman" w:cs="Times New Roman"/>
          <w:color w:val="000000"/>
          <w:sz w:val="20"/>
          <w:szCs w:val="20"/>
        </w:rPr>
        <w:t>of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before that court can file a reference to the High Court to determine the question of the alleged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violation”.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3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presiding Magistrate is satisfied that there is merit in the allegation, and that it has not been made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frivolously merely to delay the trial, he shall grant the application, whereupon the applicant shall frame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to be determined by the High Court”.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4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presiding Magistrate refuses to grant the application under rule 3, he shall proceed with the trial,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prejudice to the right of the applicant to renew the application in the High Court in any appeal that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follow his conviction by the Magistrate or conclusion of the matter in the subordinate court”.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clear procedure set out above, and there being no issues framed in the subordinate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we were urged to find there was nothing to determine at this stage and the application before court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fatally defective. In any event, we were further told, the only procedure known to the rules by which an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can file a direct reference to the High Court is rule 9 which in any event does not apply to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and is therefore unhelpful to the applicant and the Court. Rule 9 provides 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contravention of fundamental rights and freedoms is alleged otherwise than in the course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in a subordinate court or the High Court, an application shall be made directly to the High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DPP then referred this Court to the cases below: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others v Chairman (KANU)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Miscellaneous civil case number 238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2002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Oguk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Rimita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JJ (UR))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was a case where three life members of a political party, the Kenya African National Union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(KANU) filed a constitutional reference by way of an originating motion seeking certain orders that are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of relevance here. A preliminary objection was taken by the respondents as to their capacity to be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 as officials of a society and in their official capacity. While holding that the society was not a legal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with capacity to sue or be sued, the Court also noted that a person alleging contravention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must adhere to the procedure and practice as set out in the rules made under section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84(6) of the Constitution.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ipruto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Chelashaw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miscellaneous criminal application number 693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a Constitutional reference was filed under section 84 and the applicant sought orders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>that the anti-corruption Court which was trying him in criminal case number 27 of 2003 was: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 a court established by the constitution, statute or parliament under section 65 of the constitution 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not a court established by law or a court of competent jurisdiction as provided or envisaged by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77 of the constitution and the Court does not have the requisite attributes to try the case under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declaration sought in that case was therefore very similar to the orders sought in the matter before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Court, and we were urged to follow the findings of Kubo J on a preliminary objection taken by State.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objection was partly based on the fact that whereas there were pending proceedings before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court, the applicant chose, as has the applicant herein, to come to the High Court directly.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categorically held that the procedure to come to the High Court was clearly set out in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under Legal Notice number 133 of 2001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therefore it was </w:t>
      </w:r>
      <w:proofErr w:type="spellStart"/>
      <w:r>
        <w:rPr>
          <w:rFonts w:ascii="Times New Roman" w:hAnsi="Times New Roman" w:cs="Times New Roman"/>
          <w:color w:val="000000"/>
        </w:rPr>
        <w:t>unprocedural</w:t>
      </w:r>
      <w:proofErr w:type="spellEnd"/>
      <w:r>
        <w:rPr>
          <w:rFonts w:ascii="Times New Roman" w:hAnsi="Times New Roman" w:cs="Times New Roman"/>
          <w:color w:val="000000"/>
        </w:rPr>
        <w:t xml:space="preserve"> for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to allege infringement of fundamental rights and freedoms by directly saying so to the High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without first making the same allegation and applying to file a constitutional reference, to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court. The Learned Judge upheld the objection.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Reply to the objection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 to the arguments above, learned counsel for the applicant urged this Court to find that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was misconceived and in showing that fact he submitted on four basic points:</w:t>
      </w:r>
    </w:p>
    <w:p w:rsidR="00140B63" w:rsidRDefault="00140B63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843E9"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r w:rsidR="006843E9">
        <w:rPr>
          <w:rFonts w:ascii="Times New Roman" w:hAnsi="Times New Roman" w:cs="Times New Roman"/>
          <w:color w:val="000000"/>
          <w:sz w:val="20"/>
          <w:szCs w:val="20"/>
        </w:rPr>
        <w:t xml:space="preserve"> in interpreting Constitutional matters, courts should do so liberally and give it the widest possible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843E9">
        <w:rPr>
          <w:rFonts w:ascii="Times New Roman" w:hAnsi="Times New Roman" w:cs="Times New Roman"/>
          <w:color w:val="000000"/>
          <w:sz w:val="20"/>
          <w:szCs w:val="20"/>
        </w:rPr>
        <w:t>interpretation, more so in questions regarding fundamental rights.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40B63" w:rsidRDefault="006843E9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84(1) and (3) of the Constitution confers on an applicant unlimited right of access to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Constitutional Court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viz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140B63" w:rsidRDefault="006843E9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rules made under Legal Notice number 133 of 2001 are unconstitutional to the extent that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attempt to derogate from the applicant’s right of access to the High Court.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843E9" w:rsidRDefault="006843E9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nature of the matter before court is such that it cannot be determined by a preliminary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objection and the applicant ought to be allowed to canvass his application fully and that it be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determined on its merit.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were urged to look to the Constitution of Kenya and in interpreting the relevant sections in as far 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matter is </w:t>
      </w:r>
      <w:r>
        <w:rPr>
          <w:rFonts w:ascii="Times New Roman" w:hAnsi="Times New Roman" w:cs="Times New Roman"/>
          <w:color w:val="000000"/>
        </w:rPr>
        <w:lastRenderedPageBreak/>
        <w:t>concerned, we should take the liberal approach and in that regard we were referred to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of: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Republic v EL Mann </w:t>
      </w:r>
      <w:r>
        <w:rPr>
          <w:rFonts w:ascii="Times New Roman" w:hAnsi="Times New Roman" w:cs="Times New Roman"/>
          <w:color w:val="000000"/>
          <w:sz w:val="20"/>
          <w:szCs w:val="20"/>
        </w:rPr>
        <w:t>[1969] EA 357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the Court held </w:t>
      </w:r>
      <w:r>
        <w:rPr>
          <w:rFonts w:ascii="Times New Roman" w:hAnsi="Times New Roman" w:cs="Times New Roman"/>
          <w:i/>
          <w:iCs/>
          <w:color w:val="000000"/>
        </w:rPr>
        <w:t xml:space="preserve">inter-alia </w:t>
      </w:r>
      <w:r>
        <w:rPr>
          <w:rFonts w:ascii="Times New Roman" w:hAnsi="Times New Roman" w:cs="Times New Roman"/>
          <w:color w:val="000000"/>
        </w:rPr>
        <w:t>that where there was no ambiguity in the riding of the Constitution,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 same should be construed according to the ordinary and natural sense of the words.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Okunda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[1970] EA 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Mwendwa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CJ, Chana Singh and Simpson JJ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Court in this case held that where laws of the East African community were inconsistent with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Kenya, the same would be void under section 3 of that constitution. Similarly, we were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to find that where any law is found to be inconsistent with our constitution, then the same should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declared void.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argued on this point that sections 84(1) and (3) of the Constitution granted him an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unlimited right of access directly to the High Court. This being the case, it does not matter that he did not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initially make his complaint regarding allegations of violations of his fundamental rights and freedoms at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anti-corruption Court. It was his contention therefore that he was properly before this Court.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84(3) provides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in proceedings in a subordinate court a question arises as to the contravention of any of the provisions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sections 70 to 83 (inclusive) the person presiding in that court may, and shall if any party to the proceedings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requests, refer the question to the High Court unless, in his opinion, the raising of the question is merely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frivolous and vexatious”.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(4) then provides that: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question is referred to the High Court in pursuance of subsection (3), the High Court shall give its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upon the question and the Court in which the question arose shall dispose of the case in accordance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that decision”.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his client’s case is that the anti-corruption Court is unconstitutional and if it is,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it cannot for example take the directions under subsection (4) above. Further, that his client has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chosen not to submit to such a court hence the application to challenge its constitutionality directly to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He relied on the following authorities on the point: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Njeru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[1979] KLR 154 (number 1)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that case the applicant was refused an adjournment to call a witness in her criminal trial. She did not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 a constitutional reference at that time as she was entitled to do under section 84(3) of the Constitution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convicted and sentenced. She applied for leave to appeal out of time. The application was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refused. She then applied to the High Court under section 84(1) of the Constitution alleging violation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 right to reasonable facilities to conduct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as enshrined in section 77(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held: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although failure to ask the trial court to refer a question under section 84(3) did not preclude a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subsequent application under section 84(1), the application would be refused since the applicant (by applying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leave to appeal out of time and raising on that application the issue of the refusal of an a adjournment)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availed herself of an “other action” available to her and the Court should not be asked to adjudicate more than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once on the same issue”.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read out portions of the ruling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whose import was that section 84(1)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section 84(3) are not mutually exclusive but he further urged the point that the applicant in that case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accessed the High Court directly and rules under section 84(6) were not an impediment to her doing so.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Ngui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[1985] KLR 268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filed an application under section 84(1) of the Constitution for an order that section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123 of the Criminal Procedure Code (Chapter 75) was inconsistent with section 72(5) of the Constitution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purported to make her ineligible for bail for the offence of robbery with violence contrary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296(2) of the Penal Code. That section of the Criminal Procedure Code is therefore void to that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held that it had jurisdiction to consider the matter under section 84(1) of the Constitution.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Again, no mention was made of the rules under section 84(6).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Githunguri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[1986] KLR 1 Madan Ag CJ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Aganyanya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Gicheru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JJ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relevance of this case to the matter at hand is that as we were informed, the High Court once seized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matter under section 84(3) can return an opinion to guide the subordinate court. In the matter before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us, we were told that serious and weighty issues would be raised and require determination so that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would be properly guided on issues of procedure and law. A further point raised was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Court should look to the substance of the issue before it and not to the procedure used 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is weightier than procedure.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Chizondo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others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[1998] LLR 5308 (HCK)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Chief Magistrate, Mombasa, </w:t>
      </w:r>
      <w:proofErr w:type="spellStart"/>
      <w:r>
        <w:rPr>
          <w:rFonts w:ascii="Times New Roman" w:hAnsi="Times New Roman" w:cs="Times New Roman"/>
          <w:color w:val="000000"/>
        </w:rPr>
        <w:t>Aggrey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Muchelule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Esq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a question to the High Court under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84(3).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 heard arguments whether the matter could be heard by a single Judge.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after hearing the parties ordered that the file be placed before the Chief Justice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 a three Judge bench to determine the question. The learned Chief Justice while remitting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back to the High Court for hearing by a single Judge also stated that notwithstanding the absence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rules under section 84(6), the High Court can properly determine the matter under section 84(1) and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party could approach the Court by more than one way </w:t>
      </w:r>
      <w:r>
        <w:rPr>
          <w:rFonts w:ascii="Times New Roman" w:hAnsi="Times New Roman" w:cs="Times New Roman"/>
          <w:color w:val="000000"/>
        </w:rPr>
        <w:lastRenderedPageBreak/>
        <w:t>known to our practice and procedures.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Riungu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High Court criminal application number 472 of 1996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O’Kubasu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Owuor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JJ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held that a party seeking a constitutional remedy, such as the one the applicant in that matter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seeking, could approach, the Court either directly under section 84(1) or by a reference by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under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84(3). We were urged to find that the approach under section 84(1) by the applicant herein is an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option available and properly taken by him.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reliance was placed on the case of: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Kuria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Attorney-General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miscellaneous application number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1384 of 2001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point that is of relevance as regards this case is that in matters of preservation, protection and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enforcement of fundamental rights, court should not fetter itself nor attach conditions in granting those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therefore section 84(1) is a correct vehicle to bring parties to the protective arms of the High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only partly raised in the substantive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attacked, the rules made </w:t>
      </w:r>
      <w:r>
        <w:rPr>
          <w:rFonts w:ascii="Times New Roman" w:hAnsi="Times New Roman" w:cs="Times New Roman"/>
          <w:i/>
          <w:iCs/>
          <w:color w:val="000000"/>
        </w:rPr>
        <w:t>vide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 number 133 of 2001 because having argued that an applicant has a constitutional right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the High Court directly, the rules, specifically rule 2 in as far as is ties the applicant’s hands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subordinate Court is unconstitutional. He also urged the point that since in the applicant’s mind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were unconstitutional and the Court itself unconstitutional, he could not submit to it by following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and specifically the one requiring him to initially raise the allegation of violation of rights in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Court. Further that all the anti-corruption Court does as regards the applicant’s case is a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 for all these reasons.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furtherance of this point, reliance was then placed on the cases of: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Swala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[1985] KLR 425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held in this case that where a trial Magistrate proceeded to determine a subject matter whose value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exceeded his pecuniary jurisdiction, the Court had no jurisdiction, and its proceedings a nullity.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Nyangau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Nyakwana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[1986] KLR 712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point here was that, where an arbitral tribunal heard the dispute outside of the time allowed, its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subsequently was rendered a nullity.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Halsbury’s Laws of England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Volume 9 (1954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on the oft-quoted statement that where an inferior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tribunal exceeds its jurisdiction, the High Court has jurisdiction to declare its proceedings a nullity 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 the writ of prohibition.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urged on behalf of the applicant that in proceedings of this nature: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violation of fundamental rights are being alleged, issues arising, cannot be disposed of by way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preliminary objections. The reason given is that the issues are so fundamental that the Court ought to make a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determination based on all the matters raised and not just those of form or procedure. In the instant reference,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was therefore argued that the issues raised in points 1 to 3 above are so weighty and touch on an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individual’s fundamental rights and freedoms and violation thereof, that this Court should not shut the door in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face so early in the proceedings”.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this contention we were asked to follow the holdings in: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Biscuit Manufacturing Co Ltd v West End Distributors Ltd </w:t>
      </w:r>
      <w:r>
        <w:rPr>
          <w:rFonts w:ascii="Times New Roman" w:hAnsi="Times New Roman" w:cs="Times New Roman"/>
          <w:color w:val="000000"/>
          <w:sz w:val="20"/>
          <w:szCs w:val="20"/>
        </w:rPr>
        <w:t>[1969] EA 696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Court expressed displeasure at the practice of raising preliminary objections and further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such objections can only be raised where there is an issue of pure law whose determination at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point would dispose of the suit. The Court is therefore not being asked to delve into disputed matters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fact.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Niazsons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(K) Ltd v China Road and Bridge Corporation </w:t>
      </w:r>
      <w:r>
        <w:rPr>
          <w:rFonts w:ascii="Times New Roman" w:hAnsi="Times New Roman" w:cs="Times New Roman"/>
          <w:color w:val="000000"/>
          <w:sz w:val="20"/>
          <w:szCs w:val="20"/>
        </w:rPr>
        <w:t>[2001] 2 EA 502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the decision in </w:t>
      </w:r>
      <w:proofErr w:type="spellStart"/>
      <w:r>
        <w:rPr>
          <w:rFonts w:ascii="Times New Roman" w:hAnsi="Times New Roman" w:cs="Times New Roman"/>
          <w:color w:val="000000"/>
        </w:rPr>
        <w:t>Mukisa</w:t>
      </w:r>
      <w:proofErr w:type="spellEnd"/>
      <w:r>
        <w:rPr>
          <w:rFonts w:ascii="Times New Roman" w:hAnsi="Times New Roman" w:cs="Times New Roman"/>
          <w:color w:val="000000"/>
        </w:rPr>
        <w:t xml:space="preserve"> Biscuit above, where the respondent in the above matter raised a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going to the validity of the dispute resolution clause in the contract between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parties, the Court found that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was improperly raised as it required the Court to consider whether it was incapable to perform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by dint of the allegedly invalid clause. The objection was disallowed as consequence.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were urged to disallow the preliminary objection for all of the above reasons and get to the merit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applicant’s constitutional reference.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Findings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I. Constitutional Interpretation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been asked to look at the issues raised in the originating summons and approach them liberally.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agree, matters of fundamental rights and alleged violations of these rights are serious issues and 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said by their Lordships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Kuria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provisions relating to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“were meant to assure the people of this country to come, before this Court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unhesitantly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without any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constraint where there has been, there is or there is a likelihood of a breach of rights enshrined in sections 70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83 (inclusive) of the Constitution”.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also take the view that in interpreting the Constitution, regard must be had to the language and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of the Constitution so that where there is clearly no ambiguity we have no reason to depart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therefrom. Thankfully, in the instant case no ambiguity has been claimed. Ambiguity and inconsistency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cannot be the same thing. The approach taken in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>shall therefore be our approach in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are not alone in taking that approach as the Constitutional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and others </w:t>
      </w:r>
      <w:r>
        <w:rPr>
          <w:rFonts w:ascii="Times New Roman" w:hAnsi="Times New Roman" w:cs="Times New Roman"/>
          <w:color w:val="000000"/>
        </w:rPr>
        <w:t>[2004] 1 EA 194 (HCK) only recently took the same approach and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approved the decision in the case of;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Njogu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[2000] LLR 2275 (HCK)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II. Does section 84(1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3) unlimited access to the High Court?</w:t>
      </w:r>
      <w:r w:rsidR="00140B6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our considered view on this question that regard must be had to the fact that all the authorities quoted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applicant’s Counsel can be </w:t>
      </w:r>
      <w:proofErr w:type="spellStart"/>
      <w:r>
        <w:rPr>
          <w:rFonts w:ascii="Times New Roman" w:hAnsi="Times New Roman" w:cs="Times New Roman"/>
          <w:color w:val="000000"/>
        </w:rPr>
        <w:t>categorised</w:t>
      </w:r>
      <w:proofErr w:type="spellEnd"/>
      <w:r>
        <w:rPr>
          <w:rFonts w:ascii="Times New Roman" w:hAnsi="Times New Roman" w:cs="Times New Roman"/>
          <w:color w:val="000000"/>
        </w:rPr>
        <w:t xml:space="preserve"> into two groups: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those that were delivered prior to September 2001 when Legal Notice number 133 of 2001 was issued,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those that were delivered subsequent to the said legal notice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category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therefore will fall the cases of: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Njeru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1979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Ngui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1985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Githunguri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1986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Riungu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1996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v)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Chizondo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1998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(vi)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1998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category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are the following cases: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Kuria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2001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Chairman KANU </w:t>
      </w:r>
      <w:r>
        <w:rPr>
          <w:rFonts w:ascii="Times New Roman" w:hAnsi="Times New Roman" w:cs="Times New Roman"/>
          <w:color w:val="000000"/>
          <w:sz w:val="20"/>
          <w:szCs w:val="20"/>
        </w:rPr>
        <w:t>– 2002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Kipruto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Chelashaw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– 2003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Very obviously, the reason why in category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section 84(6) and the rules made thereunder was not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was precisely because there were no rules then existing. A party would therefore apply under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84(1) directly 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other way save for the procedure under section 84(3) that a person could access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Court in matters of alleged violation of fundamental rights.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specifically,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could not come to the High Court under section 84(3) because the subordinate Court had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became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fundus officio </w:t>
      </w:r>
      <w:r>
        <w:rPr>
          <w:rFonts w:ascii="Times New Roman" w:hAnsi="Times New Roman" w:cs="Times New Roman"/>
          <w:color w:val="000000"/>
        </w:rPr>
        <w:t>and therefore, the applicant could only then approach the High Court by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alternative procedure under section 84(1). The argument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mention of the rules was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those decisions is therefore spurious.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procedures under section 84(1) and that under section 84(3), we agree with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interpretation given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Riungu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said: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would appear that there are two ways in which a party may make an application for constitutional remedy.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84(3) of the Constitution there is what we may call direct application to the High Court 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84(1) of the Constitution, the applicant would come to the High Court by way of reference by a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Subordinate Court”.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herein by his own admission and election in his application chose to come by way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84(1). </w:t>
      </w:r>
      <w:proofErr w:type="spellStart"/>
      <w:r>
        <w:rPr>
          <w:rFonts w:ascii="Times New Roman" w:hAnsi="Times New Roman" w:cs="Times New Roman"/>
          <w:color w:val="000000"/>
        </w:rPr>
        <w:t>Chesoni</w:t>
      </w:r>
      <w:proofErr w:type="spellEnd"/>
      <w:r>
        <w:rPr>
          <w:rFonts w:ascii="Times New Roman" w:hAnsi="Times New Roman" w:cs="Times New Roman"/>
          <w:color w:val="000000"/>
        </w:rPr>
        <w:t xml:space="preserve"> CJ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Chizondo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discussing that section quoted the case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[1971] AC 9972.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specifically restated the statement of the judicial committee in Guyana where it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that: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right to apply to the High Court for redress conferred by article 19(1) (this article is in all material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respects, similar to section 84(1) of the Constitution of Kenya) was expressed to be subject to paragraph 6 of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article and since neither parliament nor the rule-making authority of the Supreme Court had exercised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power under article 19(6) to make provision with respect to practice and procedure the method was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unqualified and the right wide enough to cover application by any form of procedure by which the High Court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be approached to invoke its power”.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reason therefore why a party could come directly under section 84(1) was because the absence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under section 84(6) made the approach unqualified and a party could come by any procedure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including as </w:t>
      </w:r>
      <w:proofErr w:type="spellStart"/>
      <w:r>
        <w:rPr>
          <w:rFonts w:ascii="Times New Roman" w:hAnsi="Times New Roman" w:cs="Times New Roman"/>
          <w:color w:val="000000"/>
        </w:rPr>
        <w:t>Chesoni</w:t>
      </w:r>
      <w:proofErr w:type="spellEnd"/>
      <w:r>
        <w:rPr>
          <w:rFonts w:ascii="Times New Roman" w:hAnsi="Times New Roman" w:cs="Times New Roman"/>
          <w:color w:val="000000"/>
        </w:rPr>
        <w:t xml:space="preserve"> J said, even by way of a plaint.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“However, Counsel for the applicant did not note that section 84(1) and its application is subject to section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84(6). Where there were no rules made under section 84(6) it would be superfluous, to subject section 84(1)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applications to procedures and practices under section 84(6) because they did not exist. It is our view,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however, that once rules were made, then a party ought to follow those rules because: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Section 84(1) and section 84(6) should be read together and not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done, selectively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to the exclusion of each other.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Whereas section 84(1) is the section which protects the fundamental rights, section 84(6) gives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for approaching the High Court to enforce these rights.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Constitution specifically gave the Chief Justice the power to enact the rules and the Chief Justice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did so under Legal Notice number 133 of 2001. A party cannot now ignore these rules as if they did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exist. As Kubo J said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William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Kipruto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Chelashaw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Republic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and we agree.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“Procedural rules are not made for fun but for a purpose”.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also take note that the Court of Appeal was emphatic way back in 1992 that procedures that are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enacted should be followed. This was the holding in </w:t>
      </w:r>
      <w:r>
        <w:rPr>
          <w:rFonts w:ascii="Times New Roman" w:hAnsi="Times New Roman" w:cs="Times New Roman"/>
          <w:i/>
          <w:iCs/>
          <w:color w:val="000000"/>
        </w:rPr>
        <w:t xml:space="preserve">Speaker of the National Assembly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[1992]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LLR 3070 (CAK).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Court of Appeal stated: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view, there is considerable merit in the submission that where there is a clear procedure for the redress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particular grievance by the Constitution or an Act of Parliament, that procedure should be strictly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followed”.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Having said so it is instructive that all the authorities in category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 applied the rules as framed by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Chief Justice. In </w:t>
      </w:r>
      <w:r>
        <w:rPr>
          <w:rFonts w:ascii="Times New Roman" w:hAnsi="Times New Roman" w:cs="Times New Roman"/>
          <w:i/>
          <w:iCs/>
          <w:color w:val="000000"/>
        </w:rPr>
        <w:t xml:space="preserve">Kuria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stated as follows: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note that this application has been appropriately made under the rules”.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Kamlesh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Court therein observed that;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“Section 84(1) as it provides is only subject to the practice and procedure of rules when made under section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84(6)”.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was said a year before the rules were enacted, and the Court clearly understood that the rules under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84(6) are applicable, once enacted.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said enough to show that access to the High Court under section 84(1) has to be by way of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procedure set out under section 84(6), and necessarily therefore the rules should be applied.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not been called upon to discuss as yet the constitutionality or otherwise </w:t>
      </w:r>
      <w:r>
        <w:rPr>
          <w:rFonts w:ascii="Times New Roman" w:hAnsi="Times New Roman" w:cs="Times New Roman"/>
          <w:color w:val="000000"/>
        </w:rPr>
        <w:lastRenderedPageBreak/>
        <w:t>of the anti-corruption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we shall not proceed on that line. Whether therefore its decision either way will be a nullity is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matter for decision on another day. As regards the rules however, we have shown above that they are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made pursuant to a constitutional duty imposed on the Chief Justice. He has discharged that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obligation and in time too. The lamentation of Judges such as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 in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Chizondo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the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bench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Kamlesh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regarding lack of rules under section 84(6) has come to an end and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should follow the rules, since they now exist and they exist to be followed unless properly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are also aware in </w:t>
      </w:r>
      <w:proofErr w:type="spellStart"/>
      <w:r>
        <w:rPr>
          <w:rFonts w:ascii="Times New Roman" w:hAnsi="Times New Roman" w:cs="Times New Roman"/>
          <w:color w:val="000000"/>
        </w:rPr>
        <w:t>finalising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this point that the purpose of legislation must be looked at to see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it is unconstitutional. Section 84(6) so far as we see was intended to create a procedure for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bringing section 84(1) applications. We have not seen anything in those rules nor have we been shown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their purpose has been defeated.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was said in the landmark constitutional case in the Supreme Court of Uganda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others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[2004] 2 EA 276 (SCU) and quoting from a decision in </w:t>
      </w:r>
      <w:r>
        <w:rPr>
          <w:rFonts w:ascii="Times New Roman" w:hAnsi="Times New Roman" w:cs="Times New Roman"/>
          <w:i/>
          <w:iCs/>
          <w:color w:val="000000"/>
        </w:rPr>
        <w:t>Queen v Big M-Drug</w:t>
      </w:r>
    </w:p>
    <w:p w:rsidR="006843E9" w:rsidRDefault="006843E9" w:rsidP="00140B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Mart Ltd </w:t>
      </w:r>
      <w:r>
        <w:rPr>
          <w:rFonts w:ascii="Times New Roman" w:hAnsi="Times New Roman" w:cs="Times New Roman"/>
          <w:color w:val="000000"/>
        </w:rPr>
        <w:t>[1986] LRC 332: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“Both purpose and effects are relevant in determining constitutionality, either purpose or an unconstitutional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 can invalidate legislation. All legislation is animated by an object the legislature intends to achieve.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object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the impact produced by the operation and application of the legislation. Purpose 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 respectively in the sense of the legislation’s object and its ultimate impact are linked, if not indivisible.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and actual effects have often been looked to for guidance in assessing the legislation’s object and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thus the validity”.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we said earlier, neither the purpose nor the object of the rules have been shown to be invalid and we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rule.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agree that when Sir Newbold, president of the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derided the practice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raising unnecessary preliminary objections, he stated what is the rule regarding what proper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objections are, that is, they are in the nature of a demurrer. A demurrer would put the entire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rest. The question before us is simple; does the High Court have the jurisdiction to hear this matter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where, there has been a clear breach of procedure that flows directly from the Constitution? When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confronted with this question, the bench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Eliphaz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Riungu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had this to say: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view we thought that if the learned DPP wanted to challenge the jurisdiction of this Court to entertain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application, then that should have been raised as a preliminary point of objection, and by so doing save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everybody’s time in the, event that this Court has no jurisdiction”.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indeed as it is true that a preliminary objection would dispose of a matter completely, what better time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raise it than at the very earliest? If the applicant ought not to be in this Court and should be sent back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he came from, more so for breach of procedure, what better time to tell him so, than at his maiden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 before this Court? We do not find merit in the contention that the preliminary objection was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prematurely and we so rule.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were asked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dismiss the application for the reasons that we have enumerated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above. Our position however is that where a preliminary objection is raised and upheld as we have, then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thing to do is to strike out the application which we hereby proceed to do.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 preliminary objection is hereby allowed as prayed.</w:t>
      </w:r>
      <w:r w:rsidR="00140B6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 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question whether section 84(1) allows an applicant to access the High Court directly, we have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ruled that he can only come to the High Court using the procedure contained in the rules made under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84(6) of the Constitution.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 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whether the rules aforesaid are unconstitutional, we have held that in the circumstances and context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case, we see no such, unconstitutionality.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 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whether, a preliminary objection of the nature of the one raised here is properly so raised, we hold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it is so and the same is hereby upheld.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I n reaching our conclusion, we have had regard to the language and tenor of the Constitution and the</w:t>
      </w:r>
      <w:r w:rsidR="00140B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at hand and taken a literal/liberal interpretation of the issue before us.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dated 13 May 2002 is therefore struck out with costs to the respondents.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accordingly.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Sichangi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instructed by Attorney-General</w:t>
      </w:r>
    </w:p>
    <w:p w:rsidR="006843E9" w:rsidRDefault="006843E9" w:rsidP="0068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21070D" w:rsidRDefault="006843E9" w:rsidP="006843E9">
      <w:r>
        <w:rPr>
          <w:rFonts w:ascii="Times New Roman" w:hAnsi="Times New Roman" w:cs="Times New Roman"/>
          <w:i/>
          <w:iCs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Daly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Figgs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E9"/>
    <w:rsid w:val="00140B63"/>
    <w:rsid w:val="0021070D"/>
    <w:rsid w:val="006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9296-AAF0-474D-BAA5-6FBBC00E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4770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2018-07-04T12:50:00Z</dcterms:created>
  <dcterms:modified xsi:type="dcterms:W3CDTF">2018-07-13T16:49:00Z</dcterms:modified>
</cp:coreProperties>
</file>