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Nguku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February 2004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267/02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Criminal law – Theft – Stealing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cheque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by servant – Whether handwriting expert’s opinion was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sufficient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base conviction.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Criminal procedure – Charge sheet – Typographical error regarding number of stolen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cheque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charge sheet fatally defective.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Handwriting expert – Conclusive opinion as to similarity of handwritings given by expert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said opinion improper.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C0A40" w:rsidRDefault="00C1445E" w:rsidP="009C0A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written to a third party had gone missing in the offices of the Ministry of Foreign Affairs, and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later traced to a newly opened account. The money had been withdrawn immediately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proceeds were credited therein. The handwriting on the account-opening documents and withdrawal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forms was compared with the handwriting of all the clerical officers working in the Ministry offices. The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arrested and charged with three counts of theft based on the findings of the document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examiner.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document examiner gave unchallenged opinion evidence that the Appellant’s handwriting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matched the handwriting used to open the suspect account. The appellant was convicted and appealed to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Court. One count was dismissed, whereupon he made a further appeal to the Court of Appeal.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argued that the prosecution evidence was riddled with inconsistencies, and in particular that the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produced in court did not match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number on the charge sheet. Further, it was argued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document examiner had improperly given his conclusions in evidence instead of restricting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 to disclosing his particular findings.</w:t>
      </w:r>
      <w:r w:rsidR="009C0A40">
        <w:rPr>
          <w:rFonts w:ascii="Times New Roman" w:hAnsi="Times New Roman" w:cs="Times New Roman"/>
          <w:color w:val="000000"/>
        </w:rPr>
        <w:t xml:space="preserve"> </w:t>
      </w:r>
    </w:p>
    <w:p w:rsidR="009C0A40" w:rsidRDefault="009C0A40" w:rsidP="009C0A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1445E" w:rsidRDefault="00C1445E" w:rsidP="009C0A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There was a typographical error in the charge sheet in respect of the subject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number. This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prejudice the Appellant and certainly did not occasion injustice as the Appellant was aware of the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discrepancy between the charge sheet and the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produced in evidence.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handwriting expert is not restricted to merely pointing out the features of similarity or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dissimilarity between a forged signature and specimens of handwriting. He is entitled to express without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 an opinion on whether two handwritings are the product of the same hand. If the opinion is a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confident one, and is not challenged in cross-examination, the court is entitled to accept the opinion of</w:t>
      </w:r>
      <w:r w:rsidR="009C0A4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expert (</w:t>
      </w:r>
      <w:r>
        <w:rPr>
          <w:rFonts w:ascii="Times New Roman" w:hAnsi="Times New Roman" w:cs="Times New Roman"/>
          <w:i/>
          <w:iCs/>
          <w:color w:val="000000"/>
        </w:rPr>
        <w:t xml:space="preserve">Onyango v Republic </w:t>
      </w:r>
      <w:r>
        <w:rPr>
          <w:rFonts w:ascii="Times New Roman" w:hAnsi="Times New Roman" w:cs="Times New Roman"/>
          <w:color w:val="000000"/>
        </w:rPr>
        <w:t xml:space="preserve">[1969] EA 362 followed;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Salum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[1964] EA 126 disapproved).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Onyango v Republic </w:t>
      </w:r>
      <w:r>
        <w:rPr>
          <w:rFonts w:ascii="Times New Roman" w:hAnsi="Times New Roman" w:cs="Times New Roman"/>
          <w:color w:val="000000"/>
        </w:rPr>
        <w:t xml:space="preserve">[1969] EA 362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Salum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[1964] EA 126 – </w:t>
      </w:r>
      <w:r>
        <w:rPr>
          <w:rFonts w:ascii="Times New Roman" w:hAnsi="Times New Roman" w:cs="Times New Roman"/>
          <w:b/>
          <w:bCs/>
          <w:color w:val="000000"/>
        </w:rPr>
        <w:t>DA</w:t>
      </w:r>
    </w:p>
    <w:p w:rsidR="00C1445E" w:rsidRDefault="00C1445E" w:rsidP="00C144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575C55" w:rsidRDefault="00C1445E" w:rsidP="00C1445E">
      <w:r>
        <w:rPr>
          <w:rFonts w:ascii="Times New Roman" w:hAnsi="Times New Roman" w:cs="Times New Roman"/>
          <w:i/>
          <w:iCs/>
          <w:color w:val="000000"/>
        </w:rPr>
        <w:t xml:space="preserve">Wakefield v Lincoln (Bishop) </w:t>
      </w:r>
      <w:r>
        <w:rPr>
          <w:rFonts w:ascii="Times New Roman" w:hAnsi="Times New Roman" w:cs="Times New Roman"/>
          <w:color w:val="000000"/>
        </w:rPr>
        <w:t>[1921] 90 LJ PC 174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5E"/>
    <w:rsid w:val="00575C55"/>
    <w:rsid w:val="009C0A40"/>
    <w:rsid w:val="00C1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6BFAC-E266-475C-96BE-9AF36426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2018-07-04T18:02:00Z</dcterms:created>
  <dcterms:modified xsi:type="dcterms:W3CDTF">2018-07-13T16:52:00Z</dcterms:modified>
</cp:coreProperties>
</file>